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PRACTICAL TOOL</w:t>
            </w:r>
          </w:p>
          <w:p>
            <w:pPr>
              <w:spacing w:before="0" w:after="120" w:line="245" w:lineRule="auto"/>
            </w:pPr>
            <w:r>
              <w:rPr>
                <w:rFonts w:ascii="Arial" w:hAnsi="Arial"/>
                <w:b/>
                <w:color w:val="FFFFFF"/>
                <w:sz w:val="42"/>
              </w:rPr>
              <w:t>Challenging Calls Response and Recording Checklist</w:t>
            </w:r>
          </w:p>
          <w:p>
            <w:pPr>
              <w:spacing w:before="0" w:after="0" w:line="293" w:lineRule="auto"/>
            </w:pPr>
            <w:r>
              <w:rPr>
                <w:rFonts w:ascii="Arial" w:hAnsi="Arial"/>
                <w:color w:val="C7D8E8"/>
                <w:sz w:val="20"/>
              </w:rPr>
              <w:t>Brief staff, test local call controls and create a clear record after abusive, distressed, persistent or threatening contact.</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Work through the pre-shift checks with the team, keep the CALM prompt visible during calls, and complete the call record while the detail is fresh. Adapt the escalation routes to your own organisation and jurisdiction.</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BEFORE THE CALL OR SHIFT</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Manager, safeguarding and emergency escalation routes are confirmed.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Staff authority to warn, transfer, pause and end calls is confirmed.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How repeat callers and cross-channel contact are identified is confirmed.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How recordings and sensitive notes are accessed and retained is confirmed.</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CALM DECISION PROMPT</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Clarify the issue and any immediate danger.</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Acknowledge emotion or impact, without accepting abuse or promising an outcome you cannot deliver.</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Limit the behaviour: name it, state what must change, explain the consequence.</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Move to a service step, transfer, safeguarding route, call ending or emergency escalation.</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SIGNIFICANT CALL RECORD</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Date, time and channel</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Worker taking the call</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Caller details available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Service issue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Exact significant words</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Named people or places</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Stated timing or means</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Vulnerability or safeguarding information</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Actions taken</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People notified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Continuing risk</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Follow-up owner</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4</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MANAGER REVIEW</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Immediate danger and worker support checked.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Recordings or related contact preserved through the approved process.</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Repeat contact and patterns linked.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Boundaries, staffing, information, systems and training reviewed.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Actions, owners, dates and completion evidence assigned.</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This tool does not determine criminal offences, police action, legal liability or safeguarding thresholds. Call recording and information sharing require organisation-specific data-protection controls.</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delivers practical training on managing challenging and abusive calls, built around the contact your teams actually receive. Call 02920 657753 or visit safetysolutionstraining.co.uk.</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single" w:sz="4" w:color="C9DCEA"/>
              <w:left w:val="single" w:sz="4" w:color="C9DCEA"/>
              <w:bottom w:val="single" w:sz="4" w:color="C9DCEA"/>
              <w:right w:val="single" w:sz="4" w:color="C9DCEA"/>
            </w:tcBorders>
            <w:tcMar>
              <w:top w:w="100" w:type="dxa"/>
              <w:start w:w="130" w:type="dxa"/>
              <w:bottom w:w="100" w:type="dxa"/>
              <w:end w:w="130" w:type="dxa"/>
            </w:tcMar>
          </w:tcPr>
          <w:p>
            <w:pPr>
              <w:spacing w:before="0" w:after="0" w:line="269" w:lineRule="auto"/>
            </w:pPr>
            <w:r>
              <w:rPr>
                <w:rFonts w:ascii="Arial" w:hAnsi="Arial"/>
                <w:b/>
                <w:i w:val="0"/>
                <w:caps/>
                <w:color w:val="0057A8"/>
                <w:sz w:val="15"/>
                <w:spacing w:val="14"/>
              </w:rPr>
              <w:t>ADDITIONAL NOTES, ACTIONS AND FOLLOW-UP</w:t>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