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6917"/>
        <w:gridCol w:w="3061"/>
      </w:tblGrid>
      <w:tr>
        <w:tc>
          <w:tcPr>
            <w:tcW w:type="dxa" w:w="6917"/>
            <w:shd w:val="clear" w:fill="13233A"/>
            <w:tcMar>
              <w:top w:w="300" w:type="dxa"/>
              <w:start w:w="320" w:type="dxa"/>
              <w:bottom w:w="300" w:type="dxa"/>
              <w:end w:w="320" w:type="dxa"/>
            </w:tcMar>
            <w:vAlign w:val="center"/>
          </w:tcPr>
          <w:p>
            <w:pPr>
              <w:spacing w:before="0" w:after="100" w:line="269" w:lineRule="auto"/>
            </w:pPr>
            <w:r>
              <w:rPr>
                <w:rFonts w:ascii="Arial" w:hAnsi="Arial"/>
                <w:b/>
                <w:i w:val="0"/>
                <w:caps/>
                <w:color w:val="1F94D7"/>
                <w:sz w:val="16"/>
                <w:spacing w:val="14"/>
              </w:rPr>
              <w:t>SAFETY HUB PRACTICAL TOOL</w:t>
            </w:r>
          </w:p>
          <w:p>
            <w:pPr>
              <w:spacing w:before="0" w:after="120" w:line="245" w:lineRule="auto"/>
            </w:pPr>
            <w:r>
              <w:rPr>
                <w:rFonts w:ascii="Arial" w:hAnsi="Arial"/>
                <w:b/>
                <w:color w:val="FFFFFF"/>
                <w:sz w:val="42"/>
              </w:rPr>
              <w:t>Lone Worker Device Implementation Toolkit</w:t>
            </w:r>
          </w:p>
          <w:p>
            <w:pPr>
              <w:spacing w:before="0" w:after="0" w:line="293" w:lineRule="auto"/>
            </w:pPr>
            <w:r>
              <w:rPr>
                <w:rFonts w:ascii="Arial" w:hAnsi="Arial"/>
                <w:color w:val="C7D8E8"/>
                <w:sz w:val="20"/>
              </w:rPr>
              <w:t>Practical checks for staff, supervisors and managers using lone worker devices, apps and monitored response systems.</w:t>
            </w:r>
          </w:p>
        </w:tc>
        <w:tc>
          <w:tcPr>
            <w:tcW w:type="dxa" w:w="3061"/>
            <w:shd w:val="clear" w:fill="EAF3FA"/>
            <w:tcMar>
              <w:top w:w="220" w:type="dxa"/>
              <w:start w:w="220" w:type="dxa"/>
              <w:bottom w:w="220" w:type="dxa"/>
              <w:end w:w="220" w:type="dxa"/>
            </w:tcMar>
            <w:vAlign w:val="center"/>
          </w:tcPr>
          <w:p>
            <w:pPr>
              <w:spacing w:after="0"/>
              <w:jc w:val="center"/>
            </w:pPr>
            <w:r>
              <w:drawing>
                <wp:inline xmlns:a="http://schemas.openxmlformats.org/drawingml/2006/main" xmlns:pic="http://schemas.openxmlformats.org/drawingml/2006/picture">
                  <wp:extent cx="1260000" cy="844200"/>
                  <wp:docPr id="1" name="Picture 1"/>
                  <wp:cNvGraphicFramePr>
                    <a:graphicFrameLocks noChangeAspect="1"/>
                  </wp:cNvGraphicFramePr>
                  <a:graphic>
                    <a:graphicData uri="http://schemas.openxmlformats.org/drawingml/2006/picture">
                      <pic:pic>
                        <pic:nvPicPr>
                          <pic:cNvPr id="0" name="safety-solutions-training-vertical.jpg"/>
                          <pic:cNvPicPr/>
                        </pic:nvPicPr>
                        <pic:blipFill>
                          <a:blip r:embed="rId10"/>
                          <a:stretch>
                            <a:fillRect/>
                          </a:stretch>
                        </pic:blipFill>
                        <pic:spPr>
                          <a:xfrm>
                            <a:off x="0" y="0"/>
                            <a:ext cx="1260000" cy="844200"/>
                          </a:xfrm>
                          <a:prstGeom prst="rect"/>
                        </pic:spPr>
                      </pic:pic>
                    </a:graphicData>
                  </a:graphic>
                </wp:inline>
              </w:drawing>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1663"/>
        <w:gridCol w:w="1663"/>
        <w:gridCol w:w="1663"/>
        <w:gridCol w:w="1663"/>
        <w:gridCol w:w="1663"/>
        <w:gridCol w:w="1663"/>
      </w:tblGrid>
      <w:tr>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VERSION</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v1.1</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PUBLISHED</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August 2026</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REVIEW</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Annually or after an incident</w:t>
            </w:r>
          </w:p>
        </w:tc>
      </w:tr>
    </w:tbl>
    <w:p>
      <w:pPr>
        <w:spacing w:before="0" w:after="0" w:line="240" w:lineRule="auto"/>
      </w:pPr>
      <w:r>
        <w:rPr>
          <w:sz w:val="12"/>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HOW TO USE THIS TOOL</w:t>
            </w:r>
          </w:p>
          <w:p>
            <w:pPr>
              <w:spacing w:before="0" w:after="0" w:line="288" w:lineRule="auto"/>
            </w:pPr>
            <w:r>
              <w:rPr>
                <w:rFonts w:ascii="Arial" w:hAnsi="Arial"/>
                <w:color w:val="13233A"/>
                <w:sz w:val="18"/>
              </w:rPr>
              <w:t>The daily checklist is for the worker before they leave base. The audit checklist is for the manager reviewing how the system is actually being used. Both work best completed rather than read.</w:t>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1</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DAILY DEVICE CHECK</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Device or app is available before leaving base.</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Battery, signal, location and required permissions checked.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Check-in, emergency activation and cancellation routes understood.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Monitoring centre or internal responder details known.</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Faults, uncertainty or missed tests reported before work continues.</w:t>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2</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MANAGER AUDIT</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Staff carry, readiness and test arrangements reviewed.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Response instructions and escalation contacts checked.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False activations, missed check-ins and incident records reviewed.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Training and refresher needs recorded.</w:t>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3</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AUDIT RECORD</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Team or service audited</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Devices or apps in scope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Number of workers covered</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Issues found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Actions agreed</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Owner and date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LIMITATIONS</w:t>
            </w:r>
          </w:p>
          <w:p>
            <w:pPr>
              <w:spacing w:before="0" w:after="0" w:line="288" w:lineRule="auto"/>
            </w:pPr>
            <w:r>
              <w:rPr>
                <w:rFonts w:ascii="Arial" w:hAnsi="Arial"/>
                <w:color w:val="13233A"/>
                <w:sz w:val="18"/>
              </w:rPr>
              <w:t>Adapt this to your own risk assessment, contract and supplier configuration before use. Do not assume a feature, response model or evidence record is available without verifying it. Technology supports the duty to protect staff; it does not discharge it.</w:t>
            </w:r>
          </w:p>
        </w:tc>
      </w:tr>
    </w:tbl>
    <w:p>
      <w:pPr>
        <w:spacing w:before="0" w:after="0" w:line="240" w:lineRule="auto"/>
      </w:pPr>
      <w:r>
        <w:rPr>
          <w:sz w:val="14"/>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SUPPORT</w:t>
            </w:r>
          </w:p>
          <w:p>
            <w:pPr>
              <w:spacing w:before="0" w:after="0" w:line="288" w:lineRule="auto"/>
            </w:pPr>
            <w:r>
              <w:rPr>
                <w:rFonts w:ascii="Arial" w:hAnsi="Arial"/>
                <w:color w:val="13233A"/>
                <w:sz w:val="18"/>
              </w:rPr>
              <w:t>Safety Solutions Training delivers lone worker safety training covering device use, escalation and the judgement staff need when a device is not enough. Call 02920 657753 or visit safetysolutionstraining.co.uk.</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single" w:sz="4" w:color="C9DCEA"/>
              <w:left w:val="single" w:sz="4" w:color="C9DCEA"/>
              <w:bottom w:val="single" w:sz="4" w:color="C9DCEA"/>
              <w:right w:val="single" w:sz="4" w:color="C9DCEA"/>
            </w:tcBorders>
            <w:tcMar>
              <w:top w:w="100" w:type="dxa"/>
              <w:start w:w="130" w:type="dxa"/>
              <w:bottom w:w="100" w:type="dxa"/>
              <w:end w:w="130" w:type="dxa"/>
            </w:tcMar>
          </w:tcPr>
          <w:p>
            <w:pPr>
              <w:spacing w:before="0" w:after="0" w:line="269" w:lineRule="auto"/>
            </w:pPr>
            <w:r>
              <w:rPr>
                <w:rFonts w:ascii="Arial" w:hAnsi="Arial"/>
                <w:b/>
                <w:i w:val="0"/>
                <w:caps/>
                <w:color w:val="0057A8"/>
                <w:sz w:val="15"/>
                <w:spacing w:val="14"/>
              </w:rPr>
              <w:t>ADDITIONAL NOTES, ACTIONS AND FOLLOW-UP</w:t>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bl>
    <w:sectPr w:rsidR="00FC693F" w:rsidRPr="0006063C" w:rsidSect="00034616">
      <w:footerReference w:type="default" r:id="rId9"/>
      <w:pgSz w:w="11906" w:h="16838"/>
      <w:pgMar w:top="850" w:right="964" w:bottom="907" w:left="96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Pr>
    <w:r>
      <w:rPr>
        <w:rFonts w:ascii="Arial" w:hAnsi="Arial"/>
        <w:b/>
        <w:color w:val="0057A8"/>
        <w:sz w:val="15"/>
      </w:rPr>
      <w:t>Safety Solutions Training Limited  |  7 Coryton Crescent, Cardiff CF14 7EP</w:t>
      <w:br/>
    </w:r>
    <w:r>
      <w:rPr>
        <w:rFonts w:ascii="Arial" w:hAnsi="Arial"/>
        <w:b w:val="0"/>
        <w:color w:val="5B6B7F"/>
        <w:sz w:val="15"/>
      </w:rPr>
      <w:t>Tel 02920 657753 / 07904 496357  |  safetysolutionstraining.co.uk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pPr>
    <w:rPr>
      <w:rFonts w:ascii="Arial" w:hAnsi="Arial"/>
      <w:color w:val="1323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