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6917"/>
        <w:gridCol w:w="3061"/>
      </w:tblGrid>
      <w:tr>
        <w:tc>
          <w:tcPr>
            <w:tcW w:type="dxa" w:w="6917"/>
            <w:shd w:val="clear" w:fill="13233A"/>
            <w:tcMar>
              <w:top w:w="300" w:type="dxa"/>
              <w:start w:w="320" w:type="dxa"/>
              <w:bottom w:w="300" w:type="dxa"/>
              <w:end w:w="320" w:type="dxa"/>
            </w:tcMar>
            <w:vAlign w:val="center"/>
          </w:tcPr>
          <w:p>
            <w:pPr>
              <w:spacing w:before="0" w:after="100" w:line="269" w:lineRule="auto"/>
            </w:pPr>
            <w:r>
              <w:rPr>
                <w:rFonts w:ascii="Arial" w:hAnsi="Arial"/>
                <w:b/>
                <w:i w:val="0"/>
                <w:caps/>
                <w:color w:val="1F94D7"/>
                <w:sz w:val="16"/>
                <w:spacing w:val="14"/>
              </w:rPr>
              <w:t>SAFETY HUB PRACTICAL TOOL</w:t>
            </w:r>
          </w:p>
          <w:p>
            <w:pPr>
              <w:spacing w:before="0" w:after="120" w:line="245" w:lineRule="auto"/>
            </w:pPr>
            <w:r>
              <w:rPr>
                <w:rFonts w:ascii="Arial" w:hAnsi="Arial"/>
                <w:b/>
                <w:color w:val="FFFFFF"/>
                <w:sz w:val="42"/>
              </w:rPr>
              <w:t>Lone Worker Policy Review Authority Checklist</w:t>
            </w:r>
          </w:p>
          <w:p>
            <w:pPr>
              <w:spacing w:before="0" w:after="0" w:line="293" w:lineRule="auto"/>
            </w:pPr>
            <w:r>
              <w:rPr>
                <w:rFonts w:ascii="Arial" w:hAnsi="Arial"/>
                <w:color w:val="C7D8E8"/>
                <w:sz w:val="20"/>
              </w:rPr>
              <w:t>A review prompt for lone working policy, risk assessment, escalation, records and manager oversight.</w:t>
            </w:r>
          </w:p>
        </w:tc>
        <w:tc>
          <w:tcPr>
            <w:tcW w:type="dxa" w:w="3061"/>
            <w:shd w:val="clear" w:fill="EAF3FA"/>
            <w:tcMar>
              <w:top w:w="220" w:type="dxa"/>
              <w:start w:w="220" w:type="dxa"/>
              <w:bottom w:w="220" w:type="dxa"/>
              <w:end w:w="220" w:type="dxa"/>
            </w:tcMar>
            <w:vAlign w:val="center"/>
          </w:tcPr>
          <w:p>
            <w:pPr>
              <w:spacing w:after="0"/>
              <w:jc w:val="center"/>
            </w:pPr>
            <w:r>
              <w:drawing>
                <wp:inline xmlns:a="http://schemas.openxmlformats.org/drawingml/2006/main" xmlns:pic="http://schemas.openxmlformats.org/drawingml/2006/picture">
                  <wp:extent cx="1260000" cy="844200"/>
                  <wp:docPr id="1" name="Picture 1"/>
                  <wp:cNvGraphicFramePr>
                    <a:graphicFrameLocks noChangeAspect="1"/>
                  </wp:cNvGraphicFramePr>
                  <a:graphic>
                    <a:graphicData uri="http://schemas.openxmlformats.org/drawingml/2006/picture">
                      <pic:pic>
                        <pic:nvPicPr>
                          <pic:cNvPr id="0" name="safety-solutions-training-vertical.jpg"/>
                          <pic:cNvPicPr/>
                        </pic:nvPicPr>
                        <pic:blipFill>
                          <a:blip r:embed="rId10"/>
                          <a:stretch>
                            <a:fillRect/>
                          </a:stretch>
                        </pic:blipFill>
                        <pic:spPr>
                          <a:xfrm>
                            <a:off x="0" y="0"/>
                            <a:ext cx="1260000" cy="844200"/>
                          </a:xfrm>
                          <a:prstGeom prst="rect"/>
                        </pic:spPr>
                      </pic:pic>
                    </a:graphicData>
                  </a:graphic>
                </wp:inline>
              </w:drawing>
            </w:r>
          </w:p>
        </w:tc>
      </w:tr>
    </w:tbl>
    <w:p>
      <w:pPr>
        <w:spacing w:before="0" w:after="0" w:line="240" w:lineRule="auto"/>
      </w:pPr>
      <w:r>
        <w:rPr>
          <w:sz w:val="16"/>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1663"/>
        <w:gridCol w:w="1663"/>
        <w:gridCol w:w="1663"/>
        <w:gridCol w:w="1663"/>
        <w:gridCol w:w="1663"/>
        <w:gridCol w:w="1663"/>
      </w:tblGrid>
      <w:tr>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VERSION</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v1.1</w:t>
            </w:r>
          </w:p>
        </w:tc>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PUBLISHED</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August 2026</w:t>
            </w:r>
          </w:p>
        </w:tc>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REVIEW</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Annually or after an incident</w:t>
            </w:r>
          </w:p>
        </w:tc>
      </w:tr>
    </w:tbl>
    <w:p>
      <w:pPr>
        <w:spacing w:before="0" w:after="0" w:line="240" w:lineRule="auto"/>
      </w:pPr>
      <w:r>
        <w:rPr>
          <w:sz w:val="12"/>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HOW TO USE THIS TOOL</w:t>
            </w:r>
          </w:p>
          <w:p>
            <w:pPr>
              <w:spacing w:before="0" w:after="0" w:line="288" w:lineRule="auto"/>
            </w:pPr>
            <w:r>
              <w:rPr>
                <w:rFonts w:ascii="Arial" w:hAnsi="Arial"/>
                <w:color w:val="13233A"/>
                <w:sz w:val="18"/>
              </w:rPr>
              <w:t>Work through it with the people who hold the policy and the people who work alone under it. Record the answer, the evidence and the gap, then assign an owner to anything that cannot be evidenced today.</w:t>
            </w:r>
          </w:p>
        </w:tc>
      </w:tr>
    </w:tbl>
    <w:p>
      <w:pPr>
        <w:spacing w:before="0" w:after="0" w:line="240" w:lineRule="auto"/>
      </w:pPr>
      <w:r>
        <w:rPr>
          <w:sz w:val="16"/>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1</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SCOPE AND RISK</w:t>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Roles that work alone</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Locations and settings</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Tasks carried out alone</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Foreseeable risks identified</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Date of last risk assessment</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2</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RAISING THE ALARM</w:t>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How workers seek early support</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How an emergency alarm is raised</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Devices or apps in use</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What happens if a check-in is missed</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3</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RESPONSE AND ESCALATION</w:t>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Internal, external or hybrid response</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Who holds responsibility</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Escalation contacts</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Out-of-hours cover</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Conditions for police escalation</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4</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RECORDS AND LEARNING</w:t>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Privacy arrangements</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Retention period</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Who can access records</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How learning is captured and applied</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LIMITATIONS</w:t>
            </w:r>
          </w:p>
          <w:p>
            <w:pPr>
              <w:spacing w:before="0" w:after="0" w:line="288" w:lineRule="auto"/>
            </w:pPr>
            <w:r>
              <w:rPr>
                <w:rFonts w:ascii="Arial" w:hAnsi="Arial"/>
                <w:color w:val="13233A"/>
                <w:sz w:val="18"/>
              </w:rPr>
              <w:t>Use alongside current HSE guidance and your own risk assessment. Verify supplier, accreditation and response claims directly before relying on them. This checklist does not constitute legal advice or a compliance certificate.</w:t>
            </w:r>
          </w:p>
        </w:tc>
      </w:tr>
    </w:tbl>
    <w:p>
      <w:pPr>
        <w:spacing w:before="0" w:after="0" w:line="240" w:lineRule="auto"/>
      </w:pPr>
      <w:r>
        <w:rPr>
          <w:sz w:val="14"/>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SUPPORT</w:t>
            </w:r>
          </w:p>
          <w:p>
            <w:pPr>
              <w:spacing w:before="0" w:after="0" w:line="288" w:lineRule="auto"/>
            </w:pPr>
            <w:r>
              <w:rPr>
                <w:rFonts w:ascii="Arial" w:hAnsi="Arial"/>
                <w:color w:val="13233A"/>
                <w:sz w:val="18"/>
              </w:rPr>
              <w:t>Safety Solutions Training delivers practical lone worker safety training and helps employers turn a written policy into competence staff can use. Call 02920 657753 or visit safetysolutionstraining.co.uk.</w:t>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single" w:sz="4" w:color="C9DCEA"/>
              <w:left w:val="single" w:sz="4" w:color="C9DCEA"/>
              <w:bottom w:val="single" w:sz="4" w:color="C9DCEA"/>
              <w:right w:val="single" w:sz="4" w:color="C9DCEA"/>
            </w:tcBorders>
            <w:tcMar>
              <w:top w:w="100" w:type="dxa"/>
              <w:start w:w="130" w:type="dxa"/>
              <w:bottom w:w="100" w:type="dxa"/>
              <w:end w:w="130" w:type="dxa"/>
            </w:tcMar>
          </w:tcPr>
          <w:p>
            <w:pPr>
              <w:spacing w:before="0" w:after="0" w:line="269" w:lineRule="auto"/>
            </w:pPr>
            <w:r>
              <w:rPr>
                <w:rFonts w:ascii="Arial" w:hAnsi="Arial"/>
                <w:b/>
                <w:i w:val="0"/>
                <w:caps/>
                <w:color w:val="0057A8"/>
                <w:sz w:val="15"/>
                <w:spacing w:val="14"/>
              </w:rPr>
              <w:t>ADDITIONAL NOTES, ACTIONS AND FOLLOW-UP</w:t>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bl>
    <w:sectPr w:rsidR="00FC693F" w:rsidRPr="0006063C" w:rsidSect="00034616">
      <w:footerReference w:type="default" r:id="rId9"/>
      <w:pgSz w:w="11906" w:h="16838"/>
      <w:pgMar w:top="850" w:right="964" w:bottom="907" w:left="964" w:header="510"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after="0"/>
      <w:jc w:val="center"/>
    </w:pPr>
    <w:r>
      <w:rPr>
        <w:rFonts w:ascii="Arial" w:hAnsi="Arial"/>
        <w:b/>
        <w:color w:val="0057A8"/>
        <w:sz w:val="15"/>
      </w:rPr>
      <w:t>Safety Solutions Training Limited  |  7 Coryton Crescent, Cardiff CF14 7EP</w:t>
      <w:br/>
    </w:r>
    <w:r>
      <w:rPr>
        <w:rFonts w:ascii="Arial" w:hAnsi="Arial"/>
        <w:b w:val="0"/>
        <w:color w:val="5B6B7F"/>
        <w:sz w:val="15"/>
      </w:rPr>
      <w:t>Tel 02920 657753 / 07904 496357  |  safetysolutionstraining.co.uk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8" w:lineRule="auto"/>
    </w:pPr>
    <w:rPr>
      <w:rFonts w:ascii="Arial" w:hAnsi="Arial"/>
      <w:color w:val="13233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