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6917"/>
        <w:gridCol w:w="3061"/>
      </w:tblGrid>
      <w:tr>
        <w:tc>
          <w:tcPr>
            <w:tcW w:type="dxa" w:w="6917"/>
            <w:shd w:val="clear" w:fill="13233A"/>
            <w:tcMar>
              <w:top w:w="300" w:type="dxa"/>
              <w:start w:w="320" w:type="dxa"/>
              <w:bottom w:w="300" w:type="dxa"/>
              <w:end w:w="320" w:type="dxa"/>
            </w:tcMar>
            <w:vAlign w:val="center"/>
          </w:tcPr>
          <w:p>
            <w:pPr>
              <w:spacing w:before="0" w:after="100" w:line="269" w:lineRule="auto"/>
            </w:pPr>
            <w:r>
              <w:rPr>
                <w:rFonts w:ascii="Arial" w:hAnsi="Arial"/>
                <w:b/>
                <w:i w:val="0"/>
                <w:caps/>
                <w:color w:val="1F94D7"/>
                <w:sz w:val="16"/>
                <w:spacing w:val="14"/>
              </w:rPr>
              <w:t>SAFETY HUB PRACTICAL TOOL</w:t>
            </w:r>
          </w:p>
          <w:p>
            <w:pPr>
              <w:spacing w:before="0" w:after="120" w:line="245" w:lineRule="auto"/>
            </w:pPr>
            <w:r>
              <w:rPr>
                <w:rFonts w:ascii="Arial" w:hAnsi="Arial"/>
                <w:b/>
                <w:color w:val="FFFFFF"/>
                <w:sz w:val="42"/>
              </w:rPr>
              <w:t>Monthly Lone Worker Management Audit</w:t>
            </w:r>
          </w:p>
          <w:p>
            <w:pPr>
              <w:spacing w:before="0" w:after="0" w:line="293" w:lineRule="auto"/>
            </w:pPr>
            <w:r>
              <w:rPr>
                <w:rFonts w:ascii="Arial" w:hAnsi="Arial"/>
                <w:color w:val="C7D8E8"/>
                <w:sz w:val="20"/>
              </w:rPr>
              <w:t>A monthly review of whether lone working controls are being used, supported and improved, not simply whether a device contract exists.</w:t>
            </w:r>
          </w:p>
        </w:tc>
        <w:tc>
          <w:tcPr>
            <w:tcW w:type="dxa" w:w="3061"/>
            <w:shd w:val="clear" w:fill="EAF3FA"/>
            <w:tcMar>
              <w:top w:w="220" w:type="dxa"/>
              <w:start w:w="220" w:type="dxa"/>
              <w:bottom w:w="220" w:type="dxa"/>
              <w:end w:w="220" w:type="dxa"/>
            </w:tcMar>
            <w:vAlign w:val="center"/>
          </w:tcPr>
          <w:p>
            <w:pPr>
              <w:spacing w:after="0"/>
              <w:jc w:val="center"/>
            </w:pPr>
            <w:r>
              <w:drawing>
                <wp:inline xmlns:a="http://schemas.openxmlformats.org/drawingml/2006/main" xmlns:pic="http://schemas.openxmlformats.org/drawingml/2006/picture">
                  <wp:extent cx="1260000" cy="844200"/>
                  <wp:docPr id="1" name="Picture 1"/>
                  <wp:cNvGraphicFramePr>
                    <a:graphicFrameLocks noChangeAspect="1"/>
                  </wp:cNvGraphicFramePr>
                  <a:graphic>
                    <a:graphicData uri="http://schemas.openxmlformats.org/drawingml/2006/picture">
                      <pic:pic>
                        <pic:nvPicPr>
                          <pic:cNvPr id="0" name="safety-solutions-training-vertical.jpg"/>
                          <pic:cNvPicPr/>
                        </pic:nvPicPr>
                        <pic:blipFill>
                          <a:blip r:embed="rId10"/>
                          <a:stretch>
                            <a:fillRect/>
                          </a:stretch>
                        </pic:blipFill>
                        <pic:spPr>
                          <a:xfrm>
                            <a:off x="0" y="0"/>
                            <a:ext cx="1260000" cy="844200"/>
                          </a:xfrm>
                          <a:prstGeom prst="rect"/>
                        </pic:spPr>
                      </pic:pic>
                    </a:graphicData>
                  </a:graphic>
                </wp:inline>
              </w:drawing>
            </w:r>
          </w:p>
        </w:tc>
      </w:tr>
    </w:tbl>
    <w:p>
      <w:pPr>
        <w:spacing w:before="0" w:after="0" w:line="240" w:lineRule="auto"/>
      </w:pPr>
      <w:r>
        <w:rPr>
          <w:sz w:val="16"/>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1663"/>
        <w:gridCol w:w="1663"/>
        <w:gridCol w:w="1663"/>
        <w:gridCol w:w="1663"/>
        <w:gridCol w:w="1663"/>
        <w:gridCol w:w="1663"/>
      </w:tblGrid>
      <w:tr>
        <w:tc>
          <w:tcPr>
            <w:tcW w:type="dxa" w:w="1663"/>
            <w:shd w:val="clear" w:fill="EAF3FA"/>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i w:val="0"/>
                <w:caps/>
                <w:color w:val="0057A8"/>
                <w:sz w:val="16"/>
                <w:spacing w:val="14"/>
              </w:rPr>
              <w:t>VERSION</w:t>
            </w:r>
          </w:p>
        </w:tc>
        <w:tc>
          <w:tcPr>
            <w:tcW w:type="dxa" w:w="1663"/>
            <w:shd w:val="clear" w:fill="F6FAFD"/>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val="0"/>
                <w:i w:val="0"/>
                <w:color w:val="13233A"/>
                <w:sz w:val="18"/>
              </w:rPr>
              <w:t>v1.1</w:t>
            </w:r>
          </w:p>
        </w:tc>
        <w:tc>
          <w:tcPr>
            <w:tcW w:type="dxa" w:w="1663"/>
            <w:shd w:val="clear" w:fill="EAF3FA"/>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i w:val="0"/>
                <w:caps/>
                <w:color w:val="0057A8"/>
                <w:sz w:val="16"/>
                <w:spacing w:val="14"/>
              </w:rPr>
              <w:t>PUBLISHED</w:t>
            </w:r>
          </w:p>
        </w:tc>
        <w:tc>
          <w:tcPr>
            <w:tcW w:type="dxa" w:w="1663"/>
            <w:shd w:val="clear" w:fill="F6FAFD"/>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val="0"/>
                <w:i w:val="0"/>
                <w:color w:val="13233A"/>
                <w:sz w:val="18"/>
              </w:rPr>
              <w:t>August 2026</w:t>
            </w:r>
          </w:p>
        </w:tc>
        <w:tc>
          <w:tcPr>
            <w:tcW w:type="dxa" w:w="1663"/>
            <w:shd w:val="clear" w:fill="EAF3FA"/>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i w:val="0"/>
                <w:caps/>
                <w:color w:val="0057A8"/>
                <w:sz w:val="16"/>
                <w:spacing w:val="14"/>
              </w:rPr>
              <w:t>REVIEW</w:t>
            </w:r>
          </w:p>
        </w:tc>
        <w:tc>
          <w:tcPr>
            <w:tcW w:type="dxa" w:w="1663"/>
            <w:shd w:val="clear" w:fill="F6FAFD"/>
            <w:tcMar>
              <w:top w:w="90" w:type="dxa"/>
              <w:start w:w="130" w:type="dxa"/>
              <w:bottom w:w="90" w:type="dxa"/>
              <w:end w:w="130" w:type="dxa"/>
            </w:tcMar>
            <w:tcBorders>
              <w:top w:val="single" w:sz="4" w:color="C9DCEA"/>
              <w:left w:val="nil"/>
              <w:bottom w:val="single" w:sz="4" w:color="C9DCEA"/>
              <w:right w:val="nil"/>
            </w:tcBorders>
            <w:vAlign w:val="center"/>
          </w:tcPr>
          <w:p>
            <w:pPr>
              <w:spacing w:before="0" w:after="0" w:line="269" w:lineRule="auto"/>
            </w:pPr>
            <w:r>
              <w:rPr>
                <w:rFonts w:ascii="Arial" w:hAnsi="Arial"/>
                <w:b w:val="0"/>
                <w:i w:val="0"/>
                <w:color w:val="13233A"/>
                <w:sz w:val="18"/>
              </w:rPr>
              <w:t>Annually or after an incident</w:t>
            </w:r>
          </w:p>
        </w:tc>
      </w:tr>
    </w:tbl>
    <w:p>
      <w:pPr>
        <w:spacing w:before="0" w:after="0" w:line="240" w:lineRule="auto"/>
      </w:pPr>
      <w:r>
        <w:rPr>
          <w:sz w:val="12"/>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9978"/>
      </w:tblGrid>
      <w:tr>
        <w:tc>
          <w:tcPr>
            <w:tcW w:type="dxa" w:w="9978"/>
            <w:shd w:val="clear" w:fill="EAF3FA"/>
            <w:tcBorders>
              <w:top w:val="nil"/>
              <w:left w:val="single" w:sz="6" w:color="1F94D7"/>
              <w:bottom w:val="nil"/>
              <w:right w:val="nil"/>
            </w:tcBorders>
            <w:tcMar>
              <w:top w:w="170" w:type="dxa"/>
              <w:start w:w="200" w:type="dxa"/>
              <w:bottom w:w="170" w:type="dxa"/>
              <w:end w:w="200" w:type="dxa"/>
            </w:tcMar>
          </w:tcPr>
          <w:p>
            <w:pPr>
              <w:spacing w:before="0" w:after="80" w:line="269" w:lineRule="auto"/>
            </w:pPr>
            <w:r>
              <w:rPr>
                <w:rFonts w:ascii="Arial" w:hAnsi="Arial"/>
                <w:b/>
                <w:i w:val="0"/>
                <w:caps/>
                <w:color w:val="0057A8"/>
                <w:sz w:val="16"/>
                <w:spacing w:val="14"/>
              </w:rPr>
              <w:t>HOW TO USE THIS TOOL</w:t>
            </w:r>
          </w:p>
          <w:p>
            <w:pPr>
              <w:spacing w:before="0" w:after="0" w:line="288" w:lineRule="auto"/>
            </w:pPr>
            <w:r>
              <w:rPr>
                <w:rFonts w:ascii="Arial" w:hAnsi="Arial"/>
                <w:color w:val="13233A"/>
                <w:sz w:val="18"/>
              </w:rPr>
              <w:t>Complete it monthly with the manager who owns lone working for the service. Record what the evidence actually showed rather than what the policy says should happen, and carry unfinished actions forward.</w:t>
            </w:r>
          </w:p>
        </w:tc>
      </w:tr>
    </w:tbl>
    <w:p>
      <w:pPr>
        <w:spacing w:before="0" w:after="0" w:line="240" w:lineRule="auto"/>
      </w:pPr>
      <w:r>
        <w:rPr>
          <w:sz w:val="16"/>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709"/>
        <w:gridCol w:w="2296"/>
        <w:gridCol w:w="6973"/>
      </w:tblGrid>
      <w:tr>
        <w:trPr>
          <w:cantSplit/>
          <w:tblHeader w:val="true"/>
        </w:trPr>
        <w:tc>
          <w:tcPr>
            <w:tcW w:type="dxa" w:w="709"/>
            <w:shd w:val="clear" w:fill="1F94D7"/>
            <w:vAlign w:val="center"/>
            <w:tcMar>
              <w:top w:w="130" w:type="dxa"/>
              <w:start w:w="0" w:type="dxa"/>
              <w:bottom w:w="130" w:type="dxa"/>
              <w:end w:w="0" w:type="dxa"/>
            </w:tcMar>
          </w:tcPr>
          <w:p>
            <w:pPr>
              <w:keepNext/>
              <w:spacing w:before="0" w:after="0" w:line="269" w:lineRule="auto"/>
              <w:jc w:val="center"/>
            </w:pPr>
            <w:r>
              <w:rPr>
                <w:rFonts w:ascii="Arial" w:hAnsi="Arial"/>
                <w:b/>
                <w:i w:val="0"/>
                <w:color w:val="FFFFFF"/>
                <w:sz w:val="26"/>
              </w:rPr>
              <w:t>1</w:t>
            </w:r>
          </w:p>
        </w:tc>
        <w:tc>
          <w:tcPr>
            <w:tcW w:type="dxa" w:w="9269"/>
            <w:gridSpan w:val="2"/>
            <w:shd w:val="clear" w:fill="13233A"/>
            <w:vAlign w:val="center"/>
            <w:tcMar>
              <w:top w:w="130" w:type="dxa"/>
              <w:start w:w="280" w:type="dxa"/>
              <w:bottom w:w="130" w:type="dxa"/>
              <w:end w:w="280" w:type="dxa"/>
            </w:tcMar>
          </w:tcPr>
          <w:p>
            <w:pPr>
              <w:keepNext/>
              <w:spacing w:before="0" w:after="0" w:line="269" w:lineRule="auto"/>
            </w:pPr>
            <w:r>
              <w:rPr>
                <w:rFonts w:ascii="Arial" w:hAnsi="Arial"/>
                <w:b/>
                <w:i w:val="0"/>
                <w:caps/>
                <w:color w:val="FFFFFF"/>
                <w:sz w:val="22"/>
                <w:spacing w:val="14"/>
              </w:rPr>
              <w:t>AUDIT DETAILS</w:t>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Team or service</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Review period</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Manager completing</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i w:val="0"/>
                <w:color w:val="0057A8"/>
                <w:sz w:val="18"/>
              </w:rPr>
              <w:t>Previous actions checked</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spacing w:before="0" w:after="0" w:line="269" w:lineRule="auto"/>
            </w:pPr>
            <w:r>
              <w:rPr>
                <w:rFonts w:ascii="Arial" w:hAnsi="Arial"/>
                <w:b w:val="0"/>
                <w:i w:val="0"/>
                <w:color w:val="13233A"/>
                <w:sz w:val="20"/>
              </w:rPr>
            </w:r>
          </w:p>
        </w:tc>
      </w:tr>
      <w:tr>
        <w:trPr>
          <w:cantSplit/>
        </w:trPr>
        <w:tc>
          <w:tcPr>
            <w:tcW w:type="dxa" w:w="9978"/>
            <w:gridSpan w:val="3"/>
            <w:shd w:val="clear" w:fill="F6FAFD"/>
            <w:tcBorders>
              <w:top w:val="single" w:sz="4" w:color="C9DCEA"/>
              <w:left w:val="single" w:sz="4" w:color="C9DCEA"/>
              <w:bottom w:val="single" w:sz="4" w:color="C9DCEA"/>
              <w:right w:val="single" w:sz="4" w:color="C9DCEA"/>
            </w:tcBorders>
            <w:tcMar>
              <w:top w:w="110" w:type="dxa"/>
              <w:start w:w="130" w:type="dxa"/>
              <w:bottom w:w="110" w:type="dxa"/>
              <w:end w:w="130" w:type="dxa"/>
            </w:tcMar>
          </w:tcPr>
          <w:p>
            <w:pPr>
              <w:spacing w:before="0" w:after="40" w:line="269" w:lineRule="auto"/>
            </w:pPr>
            <w:r>
              <w:rPr>
                <w:rFonts w:ascii="Arial" w:hAnsi="Arial"/>
                <w:b/>
                <w:i w:val="0"/>
                <w:caps/>
                <w:color w:val="5B6B7F"/>
                <w:sz w:val="15"/>
                <w:spacing w:val="14"/>
              </w:rPr>
              <w:t>NOTES AND ACTIONS</w:t>
            </w:r>
          </w:p>
          <w:p>
            <w:pPr>
              <w:spacing w:before="0" w:after="0" w:line="480" w:lineRule="auto"/>
            </w:pPr>
            <w:r>
              <w:rPr>
                <w:sz w:val="18"/>
              </w:rPr>
            </w:r>
          </w:p>
          <w:p>
            <w:pPr>
              <w:spacing w:before="0" w:after="0" w:line="480" w:lineRule="auto"/>
            </w:pPr>
            <w:r>
              <w:rPr>
                <w:sz w:val="18"/>
              </w:rPr>
            </w:r>
          </w:p>
        </w:tc>
      </w:tr>
    </w:tbl>
    <w:p>
      <w:pPr>
        <w:spacing w:before="0" w:after="0" w:line="240" w:lineRule="auto"/>
      </w:pPr>
      <w:r>
        <w:rPr>
          <w:sz w:val="18"/>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709"/>
        <w:gridCol w:w="9269"/>
      </w:tblGrid>
      <w:tr>
        <w:trPr>
          <w:cantSplit/>
        </w:trPr>
        <w:tc>
          <w:tcPr>
            <w:tcW w:type="dxa" w:w="709"/>
            <w:shd w:val="clear" w:fill="1F94D7"/>
            <w:vAlign w:val="center"/>
            <w:tcMar>
              <w:top w:w="130" w:type="dxa"/>
              <w:start w:w="0" w:type="dxa"/>
              <w:bottom w:w="130" w:type="dxa"/>
              <w:end w:w="0" w:type="dxa"/>
            </w:tcMar>
          </w:tcPr>
          <w:p>
            <w:pPr>
              <w:keepNext/>
              <w:spacing w:before="0" w:after="0" w:line="269" w:lineRule="auto"/>
              <w:jc w:val="center"/>
            </w:pPr>
            <w:r>
              <w:rPr>
                <w:rFonts w:ascii="Arial" w:hAnsi="Arial"/>
                <w:b/>
                <w:i w:val="0"/>
                <w:color w:val="FFFFFF"/>
                <w:sz w:val="26"/>
              </w:rPr>
              <w:t>2</w:t>
            </w:r>
          </w:p>
        </w:tc>
        <w:tc>
          <w:tcPr>
            <w:tcW w:type="dxa" w:w="9269"/>
            <w:shd w:val="clear" w:fill="13233A"/>
            <w:vAlign w:val="center"/>
            <w:tcMar>
              <w:top w:w="130" w:type="dxa"/>
              <w:start w:w="280" w:type="dxa"/>
              <w:bottom w:w="130" w:type="dxa"/>
              <w:end w:w="280" w:type="dxa"/>
            </w:tcMar>
          </w:tcPr>
          <w:p>
            <w:pPr>
              <w:keepNext/>
              <w:spacing w:before="0" w:after="0" w:line="269" w:lineRule="auto"/>
            </w:pPr>
            <w:r>
              <w:rPr>
                <w:rFonts w:ascii="Arial" w:hAnsi="Arial"/>
                <w:b/>
                <w:i w:val="0"/>
                <w:caps/>
                <w:color w:val="FFFFFF"/>
                <w:sz w:val="22"/>
                <w:spacing w:val="14"/>
              </w:rPr>
              <w:t>EVIDENCE REVIEW</w:t>
            </w:r>
          </w:p>
        </w:tc>
      </w:tr>
    </w:tbl>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1701"/>
        <w:gridCol w:w="3515"/>
        <w:gridCol w:w="2381"/>
        <w:gridCol w:w="2381"/>
      </w:tblGrid>
      <w:tr>
        <w:trPr>
          <w:cantSplit/>
          <w:tblHeader w:val="true"/>
        </w:trPr>
        <w:tc>
          <w:tcPr>
            <w:tcW w:type="dxa" w:w="1701"/>
            <w:shd w:val="clear" w:fill="1F94D7"/>
            <w:tcMar>
              <w:top w:w="90" w:type="dxa"/>
              <w:start w:w="130" w:type="dxa"/>
              <w:bottom w:w="90" w:type="dxa"/>
              <w:end w:w="130" w:type="dxa"/>
            </w:tcMar>
            <w:tcBorders>
              <w:top w:val="nil"/>
              <w:left w:val="nil"/>
              <w:bottom w:val="single" w:sz="4" w:color="1F94D7"/>
              <w:right w:val="nil"/>
            </w:tcBorders>
            <w:vAlign w:val="center"/>
          </w:tcPr>
          <w:p>
            <w:pPr>
              <w:keepNext/>
              <w:spacing w:before="0" w:after="0" w:line="269" w:lineRule="auto"/>
            </w:pPr>
            <w:r>
              <w:rPr>
                <w:rFonts w:ascii="Arial" w:hAnsi="Arial"/>
                <w:b/>
                <w:i w:val="0"/>
                <w:caps/>
                <w:color w:val="FFFFFF"/>
                <w:sz w:val="16"/>
                <w:spacing w:val="14"/>
              </w:rPr>
              <w:t>THEME</w:t>
            </w:r>
          </w:p>
        </w:tc>
        <w:tc>
          <w:tcPr>
            <w:tcW w:type="dxa" w:w="3515"/>
            <w:shd w:val="clear" w:fill="1F94D7"/>
            <w:tcMar>
              <w:top w:w="90" w:type="dxa"/>
              <w:start w:w="130" w:type="dxa"/>
              <w:bottom w:w="90" w:type="dxa"/>
              <w:end w:w="130" w:type="dxa"/>
            </w:tcMar>
            <w:tcBorders>
              <w:top w:val="nil"/>
              <w:left w:val="nil"/>
              <w:bottom w:val="single" w:sz="4" w:color="1F94D7"/>
              <w:right w:val="nil"/>
            </w:tcBorders>
            <w:vAlign w:val="center"/>
          </w:tcPr>
          <w:p>
            <w:pPr>
              <w:keepNext/>
              <w:spacing w:before="0" w:after="0" w:line="269" w:lineRule="auto"/>
            </w:pPr>
            <w:r>
              <w:rPr>
                <w:rFonts w:ascii="Arial" w:hAnsi="Arial"/>
                <w:b/>
                <w:i w:val="0"/>
                <w:caps/>
                <w:color w:val="FFFFFF"/>
                <w:sz w:val="16"/>
                <w:spacing w:val="14"/>
              </w:rPr>
              <w:t>WHAT GOOD LOOKS LIKE</w:t>
            </w:r>
          </w:p>
        </w:tc>
        <w:tc>
          <w:tcPr>
            <w:tcW w:type="dxa" w:w="2381"/>
            <w:shd w:val="clear" w:fill="1F94D7"/>
            <w:tcMar>
              <w:top w:w="90" w:type="dxa"/>
              <w:start w:w="130" w:type="dxa"/>
              <w:bottom w:w="90" w:type="dxa"/>
              <w:end w:w="130" w:type="dxa"/>
            </w:tcMar>
            <w:tcBorders>
              <w:top w:val="nil"/>
              <w:left w:val="nil"/>
              <w:bottom w:val="single" w:sz="4" w:color="1F94D7"/>
              <w:right w:val="nil"/>
            </w:tcBorders>
            <w:vAlign w:val="center"/>
          </w:tcPr>
          <w:p>
            <w:pPr>
              <w:keepNext/>
              <w:spacing w:before="0" w:after="0" w:line="269" w:lineRule="auto"/>
            </w:pPr>
            <w:r>
              <w:rPr>
                <w:rFonts w:ascii="Arial" w:hAnsi="Arial"/>
                <w:b/>
                <w:i w:val="0"/>
                <w:caps/>
                <w:color w:val="FFFFFF"/>
                <w:sz w:val="16"/>
                <w:spacing w:val="14"/>
              </w:rPr>
              <w:t>FINDING</w:t>
            </w:r>
          </w:p>
        </w:tc>
        <w:tc>
          <w:tcPr>
            <w:tcW w:type="dxa" w:w="2381"/>
            <w:shd w:val="clear" w:fill="1F94D7"/>
            <w:tcMar>
              <w:top w:w="90" w:type="dxa"/>
              <w:start w:w="130" w:type="dxa"/>
              <w:bottom w:w="90" w:type="dxa"/>
              <w:end w:w="130" w:type="dxa"/>
            </w:tcMar>
            <w:tcBorders>
              <w:top w:val="nil"/>
              <w:left w:val="nil"/>
              <w:bottom w:val="single" w:sz="4" w:color="1F94D7"/>
              <w:right w:val="nil"/>
            </w:tcBorders>
            <w:vAlign w:val="center"/>
          </w:tcPr>
          <w:p>
            <w:pPr>
              <w:keepNext/>
              <w:spacing w:before="0" w:after="0" w:line="269" w:lineRule="auto"/>
            </w:pPr>
            <w:r>
              <w:rPr>
                <w:rFonts w:ascii="Arial" w:hAnsi="Arial"/>
                <w:b/>
                <w:i w:val="0"/>
                <w:caps/>
                <w:color w:val="FFFFFF"/>
                <w:sz w:val="16"/>
                <w:spacing w:val="14"/>
              </w:rPr>
              <w:t>ACTION, OWNER, DATE</w:t>
            </w:r>
          </w:p>
        </w:tc>
      </w:tr>
      <w:tr>
        <w:trPr>
          <w:cantSplit/>
        </w:trPr>
        <w:tc>
          <w:tcPr>
            <w:tcW w:type="dxa" w:w="1701"/>
            <w:shd w:val="clear" w:fill="EAF3FA"/>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i w:val="0"/>
                <w:color w:val="0057A8"/>
                <w:sz w:val="17"/>
              </w:rPr>
              <w:t>Risk and work change</w:t>
            </w:r>
          </w:p>
        </w:tc>
        <w:tc>
          <w:tcPr>
            <w:tcW w:type="dxa" w:w="3515"/>
            <w:shd w:val="clear" w:fill="FFFFFF"/>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t>Changes in visits, locations, hours, people, travel or known threats were identified and assessed.</w:t>
            </w:r>
          </w:p>
        </w:tc>
        <w:tc>
          <w:tcPr>
            <w:tcW w:type="dxa" w:w="2381"/>
            <w:shd w:val="clear" w:fill="FFFFFF"/>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r>
          </w:p>
        </w:tc>
        <w:tc>
          <w:tcPr>
            <w:tcW w:type="dxa" w:w="2381"/>
            <w:shd w:val="clear" w:fill="FFFFFF"/>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r>
          </w:p>
        </w:tc>
      </w:tr>
      <w:tr>
        <w:trPr>
          <w:cantSplit/>
        </w:trPr>
        <w:tc>
          <w:tcPr>
            <w:tcW w:type="dxa" w:w="1701"/>
            <w:shd w:val="clear" w:fill="EAF3FA"/>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i w:val="0"/>
                <w:color w:val="0057A8"/>
                <w:sz w:val="17"/>
              </w:rPr>
              <w:t>Check-ins</w:t>
            </w:r>
          </w:p>
        </w:tc>
        <w:tc>
          <w:tcPr>
            <w:tcW w:type="dxa" w:w="3515"/>
            <w:shd w:val="clear" w:fill="F6FAFD"/>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t>Missed, late or extended check-ins were reviewed and the escalation route worked as intended.</w:t>
            </w:r>
          </w:p>
        </w:tc>
        <w:tc>
          <w:tcPr>
            <w:tcW w:type="dxa" w:w="2381"/>
            <w:shd w:val="clear" w:fill="F6FAFD"/>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r>
          </w:p>
        </w:tc>
        <w:tc>
          <w:tcPr>
            <w:tcW w:type="dxa" w:w="2381"/>
            <w:shd w:val="clear" w:fill="F6FAFD"/>
            <w:tcMar>
              <w:top w:w="110" w:type="dxa"/>
              <w:start w:w="130" w:type="dxa"/>
              <w:bottom w:w="110" w:type="dxa"/>
              <w:end w:w="130" w:type="dxa"/>
            </w:tcMar>
            <w:tcBorders>
              <w:top w:val="nil"/>
              <w:left w:val="nil"/>
              <w:bottom w:val="single" w:sz="4" w:color="C9DCEA"/>
              <w:right w:val="nil"/>
            </w:tcBorders>
            <w:vAlign w:val="top"/>
          </w:tcPr>
          <w:p>
            <w:pPr>
              <w:keepNext/>
              <w:spacing w:before="0" w:after="0" w:line="269" w:lineRule="auto"/>
            </w:pPr>
            <w:r>
              <w:rPr>
                <w:rFonts w:ascii="Arial" w:hAnsi="Arial"/>
                <w:b w:val="0"/>
                <w:i w:val="0"/>
                <w:color w:val="13233A"/>
                <w:sz w:val="17"/>
              </w:rPr>
            </w:r>
          </w:p>
        </w:tc>
      </w:tr>
      <w:tr>
        <w:trPr>
          <w:cantSplit/>
        </w:trPr>
        <w:tc>
          <w:tcPr>
            <w:tcW w:type="dxa" w:w="1701"/>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Devices and apps</w:t>
            </w:r>
          </w:p>
        </w:tc>
        <w:tc>
          <w:tcPr>
            <w:tcW w:type="dxa" w:w="3515"/>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Tests, faults, charging, signal and configuration issues were recorded and resolved.</w:t>
            </w:r>
          </w:p>
        </w:tc>
        <w:tc>
          <w:tcPr>
            <w:tcW w:type="dxa" w:w="2381"/>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r>
          </w:p>
        </w:tc>
        <w:tc>
          <w:tcPr>
            <w:tcW w:type="dxa" w:w="2381"/>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r>
          </w:p>
        </w:tc>
      </w:tr>
      <w:tr>
        <w:trPr>
          <w:cantSplit/>
        </w:trPr>
        <w:tc>
          <w:tcPr>
            <w:tcW w:type="dxa" w:w="1701"/>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Alerts</w:t>
            </w:r>
          </w:p>
        </w:tc>
        <w:tc>
          <w:tcPr>
            <w:tcW w:type="dxa" w:w="3515"/>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Practice, false and genuine activations were reviewed without blaming staff for raising an alarm.</w:t>
            </w:r>
          </w:p>
        </w:tc>
        <w:tc>
          <w:tcPr>
            <w:tcW w:type="dxa" w:w="2381"/>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r>
          </w:p>
        </w:tc>
        <w:tc>
          <w:tcPr>
            <w:tcW w:type="dxa" w:w="2381"/>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r>
          </w:p>
        </w:tc>
      </w:tr>
      <w:tr>
        <w:trPr>
          <w:cantSplit/>
        </w:trPr>
        <w:tc>
          <w:tcPr>
            <w:tcW w:type="dxa" w:w="1701"/>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Response</w:t>
            </w:r>
          </w:p>
        </w:tc>
        <w:tc>
          <w:tcPr>
            <w:tcW w:type="dxa" w:w="3515"/>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Responder or monitoring centre actions matched the agreed plan and current staff information.</w:t>
            </w:r>
          </w:p>
        </w:tc>
        <w:tc>
          <w:tcPr>
            <w:tcW w:type="dxa" w:w="2381"/>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r>
          </w:p>
        </w:tc>
        <w:tc>
          <w:tcPr>
            <w:tcW w:type="dxa" w:w="2381"/>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r>
          </w:p>
        </w:tc>
      </w:tr>
      <w:tr>
        <w:trPr>
          <w:cantSplit/>
        </w:trPr>
        <w:tc>
          <w:tcPr>
            <w:tcW w:type="dxa" w:w="1701"/>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Incidents</w:t>
            </w:r>
          </w:p>
        </w:tc>
        <w:tc>
          <w:tcPr>
            <w:tcW w:type="dxa" w:w="3515"/>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Reports, evidence, welfare support and learning actions were completed and linked.</w:t>
            </w:r>
          </w:p>
        </w:tc>
        <w:tc>
          <w:tcPr>
            <w:tcW w:type="dxa" w:w="2381"/>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r>
          </w:p>
        </w:tc>
        <w:tc>
          <w:tcPr>
            <w:tcW w:type="dxa" w:w="2381"/>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r>
          </w:p>
        </w:tc>
      </w:tr>
      <w:tr>
        <w:trPr>
          <w:cantSplit/>
        </w:trPr>
        <w:tc>
          <w:tcPr>
            <w:tcW w:type="dxa" w:w="1701"/>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Capability</w:t>
            </w:r>
          </w:p>
        </w:tc>
        <w:tc>
          <w:tcPr>
            <w:tcW w:type="dxa" w:w="3515"/>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New starters, role changes, confidence gaps and refresher needs were addressed.</w:t>
            </w:r>
          </w:p>
        </w:tc>
        <w:tc>
          <w:tcPr>
            <w:tcW w:type="dxa" w:w="2381"/>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r>
          </w:p>
        </w:tc>
        <w:tc>
          <w:tcPr>
            <w:tcW w:type="dxa" w:w="2381"/>
            <w:shd w:val="clear" w:fill="FFFFFF"/>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r>
          </w:p>
        </w:tc>
      </w:tr>
      <w:tr>
        <w:trPr>
          <w:cantSplit/>
        </w:trPr>
        <w:tc>
          <w:tcPr>
            <w:tcW w:type="dxa" w:w="1701"/>
            <w:shd w:val="clear" w:fill="EAF3FA"/>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i w:val="0"/>
                <w:color w:val="0057A8"/>
                <w:sz w:val="17"/>
              </w:rPr>
              <w:t>Assurance</w:t>
            </w:r>
          </w:p>
        </w:tc>
        <w:tc>
          <w:tcPr>
            <w:tcW w:type="dxa" w:w="3515"/>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t>Outstanding supplier, policy or management actions have owners and due dates.</w:t>
            </w:r>
          </w:p>
        </w:tc>
        <w:tc>
          <w:tcPr>
            <w:tcW w:type="dxa" w:w="2381"/>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r>
          </w:p>
        </w:tc>
        <w:tc>
          <w:tcPr>
            <w:tcW w:type="dxa" w:w="2381"/>
            <w:shd w:val="clear" w:fill="F6FAFD"/>
            <w:tcMar>
              <w:top w:w="110" w:type="dxa"/>
              <w:start w:w="130" w:type="dxa"/>
              <w:bottom w:w="110" w:type="dxa"/>
              <w:end w:w="130" w:type="dxa"/>
            </w:tcMar>
            <w:tcBorders>
              <w:top w:val="nil"/>
              <w:left w:val="nil"/>
              <w:bottom w:val="single" w:sz="4" w:color="C9DCEA"/>
              <w:right w:val="nil"/>
            </w:tcBorders>
            <w:vAlign w:val="top"/>
          </w:tcPr>
          <w:p>
            <w:pPr>
              <w:spacing w:before="0" w:after="0" w:line="269" w:lineRule="auto"/>
            </w:pPr>
            <w:r>
              <w:rPr>
                <w:rFonts w:ascii="Arial" w:hAnsi="Arial"/>
                <w:b w:val="0"/>
                <w:i w:val="0"/>
                <w:color w:val="13233A"/>
                <w:sz w:val="17"/>
              </w:rPr>
            </w:r>
          </w:p>
        </w:tc>
      </w:tr>
      <w:tr>
        <w:trPr>
          <w:cantSplit/>
        </w:trPr>
        <w:tc>
          <w:tcPr>
            <w:tcW w:type="dxa" w:w="9978"/>
            <w:gridSpan w:val="4"/>
            <w:shd w:val="clear" w:fill="F6FAFD"/>
            <w:tcBorders>
              <w:top w:val="single" w:sz="4" w:color="C9DCEA"/>
              <w:left w:val="single" w:sz="4" w:color="C9DCEA"/>
              <w:bottom w:val="single" w:sz="4" w:color="C9DCEA"/>
              <w:right w:val="single" w:sz="4" w:color="C9DCEA"/>
            </w:tcBorders>
            <w:tcMar>
              <w:top w:w="110" w:type="dxa"/>
              <w:start w:w="130" w:type="dxa"/>
              <w:bottom w:w="110" w:type="dxa"/>
              <w:end w:w="130" w:type="dxa"/>
            </w:tcMar>
          </w:tcPr>
          <w:p>
            <w:pPr>
              <w:spacing w:before="0" w:after="40" w:line="269" w:lineRule="auto"/>
            </w:pPr>
            <w:r>
              <w:rPr>
                <w:rFonts w:ascii="Arial" w:hAnsi="Arial"/>
                <w:b/>
                <w:i w:val="0"/>
                <w:caps/>
                <w:color w:val="5B6B7F"/>
                <w:sz w:val="15"/>
                <w:spacing w:val="14"/>
              </w:rPr>
              <w:t>NOTES AND ACTIONS</w:t>
            </w:r>
          </w:p>
          <w:p>
            <w:pPr>
              <w:spacing w:before="0" w:after="0" w:line="480" w:lineRule="auto"/>
            </w:pPr>
            <w:r>
              <w:rPr>
                <w:sz w:val="18"/>
              </w:rPr>
            </w:r>
          </w:p>
          <w:p>
            <w:pPr>
              <w:spacing w:before="0" w:after="0" w:line="480" w:lineRule="auto"/>
            </w:pPr>
            <w:r>
              <w:rPr>
                <w:sz w:val="18"/>
              </w:rPr>
            </w:r>
          </w:p>
          <w:p>
            <w:pPr>
              <w:spacing w:before="0" w:after="0" w:line="480" w:lineRule="auto"/>
            </w:pPr>
            <w:r>
              <w:rPr>
                <w:sz w:val="18"/>
              </w:rPr>
            </w:r>
          </w:p>
        </w:tc>
      </w:tr>
    </w:tbl>
    <w:p>
      <w:pPr>
        <w:spacing w:before="0" w:after="0" w:line="240" w:lineRule="auto"/>
      </w:pPr>
      <w:r>
        <w:rPr>
          <w:sz w:val="18"/>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709"/>
        <w:gridCol w:w="2296"/>
        <w:gridCol w:w="6973"/>
      </w:tblGrid>
      <w:tr>
        <w:trPr>
          <w:cantSplit/>
          <w:tblHeader w:val="true"/>
        </w:trPr>
        <w:tc>
          <w:tcPr>
            <w:tcW w:type="dxa" w:w="709"/>
            <w:shd w:val="clear" w:fill="1F94D7"/>
            <w:vAlign w:val="center"/>
            <w:tcMar>
              <w:top w:w="130" w:type="dxa"/>
              <w:start w:w="0" w:type="dxa"/>
              <w:bottom w:w="130" w:type="dxa"/>
              <w:end w:w="0" w:type="dxa"/>
            </w:tcMar>
          </w:tcPr>
          <w:p>
            <w:pPr>
              <w:keepNext/>
              <w:spacing w:before="0" w:after="0" w:line="269" w:lineRule="auto"/>
              <w:jc w:val="center"/>
            </w:pPr>
            <w:r>
              <w:rPr>
                <w:rFonts w:ascii="Arial" w:hAnsi="Arial"/>
                <w:b/>
                <w:i w:val="0"/>
                <w:color w:val="FFFFFF"/>
                <w:sz w:val="26"/>
              </w:rPr>
              <w:t>3</w:t>
            </w:r>
          </w:p>
        </w:tc>
        <w:tc>
          <w:tcPr>
            <w:tcW w:type="dxa" w:w="9269"/>
            <w:gridSpan w:val="2"/>
            <w:shd w:val="clear" w:fill="13233A"/>
            <w:vAlign w:val="center"/>
            <w:tcMar>
              <w:top w:w="130" w:type="dxa"/>
              <w:start w:w="280" w:type="dxa"/>
              <w:bottom w:w="130" w:type="dxa"/>
              <w:end w:w="280" w:type="dxa"/>
            </w:tcMar>
          </w:tcPr>
          <w:p>
            <w:pPr>
              <w:keepNext/>
              <w:spacing w:before="0" w:after="0" w:line="269" w:lineRule="auto"/>
            </w:pPr>
            <w:r>
              <w:rPr>
                <w:rFonts w:ascii="Arial" w:hAnsi="Arial"/>
                <w:b/>
                <w:i w:val="0"/>
                <w:caps/>
                <w:color w:val="FFFFFF"/>
                <w:sz w:val="22"/>
                <w:spacing w:val="14"/>
              </w:rPr>
              <w:t>MONTHLY DECISION</w:t>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Overall confidence</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Priority action</w:t>
            </w:r>
          </w:p>
        </w:tc>
        <w:tc>
          <w:tcPr>
            <w:tcW w:type="dxa" w:w="6973"/>
            <w:shd w:val="clear" w:fill="F6FAFD"/>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3005"/>
            <w:gridSpan w:val="2"/>
            <w:shd w:val="clear" w:fill="EAF3FA"/>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i w:val="0"/>
                <w:color w:val="0057A8"/>
                <w:sz w:val="18"/>
              </w:rPr>
              <w:t>Owner and due date</w:t>
            </w:r>
          </w:p>
        </w:tc>
        <w:tc>
          <w:tcPr>
            <w:tcW w:type="dxa" w:w="6973"/>
            <w:shd w:val="clear" w:fill="FFFFFF"/>
            <w:tcMar>
              <w:top w:w="130" w:type="dxa"/>
              <w:start w:w="130" w:type="dxa"/>
              <w:bottom w:w="130" w:type="dxa"/>
              <w:end w:w="130" w:type="dxa"/>
            </w:tcMar>
            <w:tcBorders>
              <w:top w:val="nil"/>
              <w:left w:val="nil"/>
              <w:bottom w:val="single" w:sz="4" w:color="C9DCEA"/>
              <w:right w:val="nil"/>
            </w:tcBorders>
            <w:vAlign w:val="center"/>
          </w:tcPr>
          <w:p>
            <w:pPr>
              <w:keepNext/>
              <w:spacing w:before="0" w:after="0" w:line="269" w:lineRule="auto"/>
            </w:pPr>
            <w:r>
              <w:rPr>
                <w:rFonts w:ascii="Arial" w:hAnsi="Arial"/>
                <w:b w:val="0"/>
                <w:i w:val="0"/>
                <w:color w:val="13233A"/>
                <w:sz w:val="20"/>
              </w:rPr>
            </w:r>
          </w:p>
        </w:tc>
      </w:tr>
      <w:tr>
        <w:trPr>
          <w:cantSplit/>
        </w:trPr>
        <w:tc>
          <w:tcPr>
            <w:tcW w:type="dxa" w:w="9978"/>
            <w:gridSpan w:val="3"/>
            <w:shd w:val="clear" w:fill="F6FAFD"/>
            <w:tcBorders>
              <w:top w:val="single" w:sz="4" w:color="C9DCEA"/>
              <w:left w:val="single" w:sz="4" w:color="C9DCEA"/>
              <w:bottom w:val="single" w:sz="4" w:color="C9DCEA"/>
              <w:right w:val="single" w:sz="4" w:color="C9DCEA"/>
            </w:tcBorders>
            <w:tcMar>
              <w:top w:w="110" w:type="dxa"/>
              <w:start w:w="130" w:type="dxa"/>
              <w:bottom w:w="110" w:type="dxa"/>
              <w:end w:w="130" w:type="dxa"/>
            </w:tcMar>
          </w:tcPr>
          <w:p>
            <w:pPr>
              <w:spacing w:before="0" w:after="40" w:line="269" w:lineRule="auto"/>
            </w:pPr>
            <w:r>
              <w:rPr>
                <w:rFonts w:ascii="Arial" w:hAnsi="Arial"/>
                <w:b/>
                <w:i w:val="0"/>
                <w:caps/>
                <w:color w:val="5B6B7F"/>
                <w:sz w:val="15"/>
                <w:spacing w:val="14"/>
              </w:rPr>
              <w:t>NOTES AND ACTIONS</w:t>
            </w:r>
          </w:p>
          <w:p>
            <w:pPr>
              <w:spacing w:before="0" w:after="0" w:line="480" w:lineRule="auto"/>
            </w:pPr>
            <w:r>
              <w:rPr>
                <w:sz w:val="18"/>
              </w:rPr>
            </w:r>
          </w:p>
          <w:p>
            <w:pPr>
              <w:spacing w:before="0" w:after="0" w:line="480" w:lineRule="auto"/>
            </w:pPr>
            <w:r>
              <w:rPr>
                <w:sz w:val="18"/>
              </w:rPr>
            </w:r>
          </w:p>
          <w:p>
            <w:pPr>
              <w:spacing w:before="0" w:after="0" w:line="480" w:lineRule="auto"/>
            </w:pPr>
            <w:r>
              <w:rPr>
                <w:sz w:val="18"/>
              </w:rPr>
            </w:r>
          </w:p>
        </w:tc>
      </w:tr>
    </w:tbl>
    <w:p>
      <w:pPr>
        <w:spacing w:before="0" w:after="0" w:line="240" w:lineRule="auto"/>
      </w:pPr>
      <w:r>
        <w:rPr>
          <w:sz w:val="18"/>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9978"/>
      </w:tblGrid>
      <w:tr>
        <w:tc>
          <w:tcPr>
            <w:tcW w:type="dxa" w:w="9978"/>
            <w:shd w:val="clear" w:fill="EAF3FA"/>
            <w:tcBorders>
              <w:top w:val="nil"/>
              <w:left w:val="single" w:sz="6" w:color="1F94D7"/>
              <w:bottom w:val="nil"/>
              <w:right w:val="nil"/>
            </w:tcBorders>
            <w:tcMar>
              <w:top w:w="170" w:type="dxa"/>
              <w:start w:w="200" w:type="dxa"/>
              <w:bottom w:w="170" w:type="dxa"/>
              <w:end w:w="200" w:type="dxa"/>
            </w:tcMar>
          </w:tcPr>
          <w:p>
            <w:pPr>
              <w:spacing w:before="0" w:after="80" w:line="269" w:lineRule="auto"/>
            </w:pPr>
            <w:r>
              <w:rPr>
                <w:rFonts w:ascii="Arial" w:hAnsi="Arial"/>
                <w:b/>
                <w:i w:val="0"/>
                <w:caps/>
                <w:color w:val="0057A8"/>
                <w:sz w:val="16"/>
                <w:spacing w:val="14"/>
              </w:rPr>
              <w:t>LIMITATIONS</w:t>
            </w:r>
          </w:p>
          <w:p>
            <w:pPr>
              <w:spacing w:before="0" w:after="0" w:line="288" w:lineRule="auto"/>
            </w:pPr>
            <w:r>
              <w:rPr>
                <w:rFonts w:ascii="Arial" w:hAnsi="Arial"/>
                <w:color w:val="13233A"/>
                <w:sz w:val="18"/>
              </w:rPr>
              <w:t>This audit records what the evidence showed in one month for one service. It does not by itself demonstrate compliance, and a clear month does not mean the arrangements would hold under a serious incident.</w:t>
            </w:r>
          </w:p>
        </w:tc>
      </w:tr>
    </w:tbl>
    <w:p>
      <w:pPr>
        <w:spacing w:before="0" w:after="0" w:line="240" w:lineRule="auto"/>
      </w:pPr>
      <w:r>
        <w:rPr>
          <w:sz w:val="14"/>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9978"/>
      </w:tblGrid>
      <w:tr>
        <w:tc>
          <w:tcPr>
            <w:tcW w:type="dxa" w:w="9978"/>
            <w:shd w:val="clear" w:fill="EAF3FA"/>
            <w:tcBorders>
              <w:top w:val="nil"/>
              <w:left w:val="single" w:sz="6" w:color="1F94D7"/>
              <w:bottom w:val="nil"/>
              <w:right w:val="nil"/>
            </w:tcBorders>
            <w:tcMar>
              <w:top w:w="170" w:type="dxa"/>
              <w:start w:w="200" w:type="dxa"/>
              <w:bottom w:w="170" w:type="dxa"/>
              <w:end w:w="200" w:type="dxa"/>
            </w:tcMar>
          </w:tcPr>
          <w:p>
            <w:pPr>
              <w:spacing w:before="0" w:after="80" w:line="269" w:lineRule="auto"/>
            </w:pPr>
            <w:r>
              <w:rPr>
                <w:rFonts w:ascii="Arial" w:hAnsi="Arial"/>
                <w:b/>
                <w:i w:val="0"/>
                <w:caps/>
                <w:color w:val="0057A8"/>
                <w:sz w:val="16"/>
                <w:spacing w:val="14"/>
              </w:rPr>
              <w:t>SUPPORT</w:t>
            </w:r>
          </w:p>
          <w:p>
            <w:pPr>
              <w:spacing w:before="0" w:after="0" w:line="288" w:lineRule="auto"/>
            </w:pPr>
            <w:r>
              <w:rPr>
                <w:rFonts w:ascii="Arial" w:hAnsi="Arial"/>
                <w:color w:val="13233A"/>
                <w:sz w:val="18"/>
              </w:rPr>
              <w:t>Safety Solutions Training helps employers turn lone working arrangements into competence staff can use under pressure. Call 02920 657753 or visit safetysolutionstraining.co.uk.</w:t>
            </w:r>
          </w:p>
        </w:tc>
      </w:tr>
    </w:tbl>
    <w:p>
      <w:pPr>
        <w:spacing w:before="0" w:after="0" w:line="240" w:lineRule="auto"/>
      </w:pPr>
      <w:r>
        <w:rPr>
          <w:sz w:val="18"/>
        </w:rPr>
      </w:r>
    </w:p>
    <w:tbl>
      <w:tblPr>
        <w:tblLayout w:type="fixed"/>
        <w:tblLook w:firstColumn="1" w:firstRow="1" w:lastColumn="0" w:lastRow="0" w:noHBand="0" w:noVBand="1" w:val="04A0"/>
        <w:tblBorders>
          <w:top w:val="nil"/>
          <w:left w:val="nil"/>
          <w:bottom w:val="nil"/>
          <w:right w:val="nil"/>
          <w:insideH w:val="nil"/>
          <w:insideV w:val="nil"/>
        </w:tblBorders>
        <w:tblW w:w="9978" w:type="dxa"/>
        <w:tblLayout w:type="fixed"/>
      </w:tblPr>
      <w:tblGrid>
        <w:gridCol w:w="9978"/>
      </w:tblGrid>
      <w:tr>
        <w:tc>
          <w:tcPr>
            <w:tcW w:type="dxa" w:w="9978"/>
            <w:shd w:val="clear" w:fill="EAF3FA"/>
            <w:tcBorders>
              <w:top w:val="single" w:sz="4" w:color="C9DCEA"/>
              <w:left w:val="single" w:sz="4" w:color="C9DCEA"/>
              <w:bottom w:val="single" w:sz="4" w:color="C9DCEA"/>
              <w:right w:val="single" w:sz="4" w:color="C9DCEA"/>
            </w:tcBorders>
            <w:tcMar>
              <w:top w:w="100" w:type="dxa"/>
              <w:start w:w="130" w:type="dxa"/>
              <w:bottom w:w="100" w:type="dxa"/>
              <w:end w:w="130" w:type="dxa"/>
            </w:tcMar>
          </w:tcPr>
          <w:p>
            <w:pPr>
              <w:spacing w:before="0" w:after="0" w:line="269" w:lineRule="auto"/>
            </w:pPr>
            <w:r>
              <w:rPr>
                <w:rFonts w:ascii="Arial" w:hAnsi="Arial"/>
                <w:b/>
                <w:i w:val="0"/>
                <w:caps/>
                <w:color w:val="0057A8"/>
                <w:sz w:val="15"/>
                <w:spacing w:val="14"/>
              </w:rPr>
              <w:t>ADDITIONAL NOTES, ACTIONS AND FOLLOW-UP</w:t>
            </w:r>
          </w:p>
        </w:tc>
      </w:tr>
      <w:tr>
        <w:trPr>
          <w:cantSplit/>
        </w:trPr>
        <w:tc>
          <w:tcPr>
            <w:tcW w:type="dxa" w:w="9978"/>
            <w:tcBorders>
              <w:top w:val="nil"/>
              <w:left w:val="single" w:sz="4" w:color="C9DCEA"/>
              <w:bottom w:val="single" w:sz="4" w:color="C9DCEA"/>
              <w:right w:val="single" w:sz="4" w:color="C9DCEA"/>
            </w:tcBorders>
            <w:tcMar>
              <w:top w:w="140" w:type="dxa"/>
              <w:start w:w="130" w:type="dxa"/>
              <w:bottom w:w="140" w:type="dxa"/>
              <w:end w:w="130" w:type="dxa"/>
            </w:tcMar>
          </w:tcPr>
          <w:p>
            <w:pPr>
              <w:spacing w:before="0" w:after="0" w:line="269" w:lineRule="auto"/>
            </w:pPr>
            <w:r>
              <w:rPr>
                <w:rFonts w:ascii="Arial" w:hAnsi="Arial"/>
                <w:b w:val="0"/>
                <w:i w:val="0"/>
                <w:color w:val="13233A"/>
                <w:sz w:val="18"/>
              </w:rPr>
            </w:r>
          </w:p>
        </w:tc>
      </w:tr>
      <w:tr>
        <w:trPr>
          <w:cantSplit/>
        </w:trPr>
        <w:tc>
          <w:tcPr>
            <w:tcW w:type="dxa" w:w="9978"/>
            <w:tcBorders>
              <w:top w:val="nil"/>
              <w:left w:val="single" w:sz="4" w:color="C9DCEA"/>
              <w:bottom w:val="single" w:sz="4" w:color="C9DCEA"/>
              <w:right w:val="single" w:sz="4" w:color="C9DCEA"/>
            </w:tcBorders>
            <w:tcMar>
              <w:top w:w="140" w:type="dxa"/>
              <w:start w:w="130" w:type="dxa"/>
              <w:bottom w:w="140" w:type="dxa"/>
              <w:end w:w="130" w:type="dxa"/>
            </w:tcMar>
          </w:tcPr>
          <w:p>
            <w:pPr>
              <w:spacing w:before="0" w:after="0" w:line="269" w:lineRule="auto"/>
            </w:pPr>
            <w:r>
              <w:rPr>
                <w:rFonts w:ascii="Arial" w:hAnsi="Arial"/>
                <w:b w:val="0"/>
                <w:i w:val="0"/>
                <w:color w:val="13233A"/>
                <w:sz w:val="18"/>
              </w:rPr>
            </w:r>
          </w:p>
        </w:tc>
      </w:tr>
      <w:tr>
        <w:trPr>
          <w:cantSplit/>
        </w:trPr>
        <w:tc>
          <w:tcPr>
            <w:tcW w:type="dxa" w:w="9978"/>
            <w:tcBorders>
              <w:top w:val="nil"/>
              <w:left w:val="single" w:sz="4" w:color="C9DCEA"/>
              <w:bottom w:val="single" w:sz="4" w:color="C9DCEA"/>
              <w:right w:val="single" w:sz="4" w:color="C9DCEA"/>
            </w:tcBorders>
            <w:tcMar>
              <w:top w:w="140" w:type="dxa"/>
              <w:start w:w="130" w:type="dxa"/>
              <w:bottom w:w="140" w:type="dxa"/>
              <w:end w:w="130" w:type="dxa"/>
            </w:tcMar>
          </w:tcPr>
          <w:p>
            <w:pPr>
              <w:spacing w:before="0" w:after="0" w:line="269" w:lineRule="auto"/>
            </w:pPr>
            <w:r>
              <w:rPr>
                <w:rFonts w:ascii="Arial" w:hAnsi="Arial"/>
                <w:b w:val="0"/>
                <w:i w:val="0"/>
                <w:color w:val="13233A"/>
                <w:sz w:val="18"/>
              </w:rPr>
            </w:r>
          </w:p>
        </w:tc>
      </w:tr>
      <w:tr>
        <w:trPr>
          <w:cantSplit/>
        </w:trPr>
        <w:tc>
          <w:tcPr>
            <w:tcW w:type="dxa" w:w="9978"/>
            <w:tcBorders>
              <w:top w:val="nil"/>
              <w:left w:val="single" w:sz="4" w:color="C9DCEA"/>
              <w:bottom w:val="single" w:sz="4" w:color="C9DCEA"/>
              <w:right w:val="single" w:sz="4" w:color="C9DCEA"/>
            </w:tcBorders>
            <w:tcMar>
              <w:top w:w="140" w:type="dxa"/>
              <w:start w:w="130" w:type="dxa"/>
              <w:bottom w:w="140" w:type="dxa"/>
              <w:end w:w="130" w:type="dxa"/>
            </w:tcMar>
          </w:tcPr>
          <w:p>
            <w:pPr>
              <w:spacing w:before="0" w:after="0" w:line="269" w:lineRule="auto"/>
            </w:pPr>
            <w:r>
              <w:rPr>
                <w:rFonts w:ascii="Arial" w:hAnsi="Arial"/>
                <w:b w:val="0"/>
                <w:i w:val="0"/>
                <w:color w:val="13233A"/>
                <w:sz w:val="18"/>
              </w:rPr>
            </w:r>
          </w:p>
        </w:tc>
      </w:tr>
      <w:tr>
        <w:trPr>
          <w:cantSplit/>
        </w:trPr>
        <w:tc>
          <w:tcPr>
            <w:tcW w:type="dxa" w:w="9978"/>
            <w:tcBorders>
              <w:top w:val="nil"/>
              <w:left w:val="single" w:sz="4" w:color="C9DCEA"/>
              <w:bottom w:val="single" w:sz="4" w:color="C9DCEA"/>
              <w:right w:val="single" w:sz="4" w:color="C9DCEA"/>
            </w:tcBorders>
            <w:tcMar>
              <w:top w:w="140" w:type="dxa"/>
              <w:start w:w="130" w:type="dxa"/>
              <w:bottom w:w="140" w:type="dxa"/>
              <w:end w:w="130" w:type="dxa"/>
            </w:tcMar>
          </w:tcPr>
          <w:p>
            <w:pPr>
              <w:spacing w:before="0" w:after="0" w:line="269" w:lineRule="auto"/>
            </w:pPr>
            <w:r>
              <w:rPr>
                <w:rFonts w:ascii="Arial" w:hAnsi="Arial"/>
                <w:b w:val="0"/>
                <w:i w:val="0"/>
                <w:color w:val="13233A"/>
                <w:sz w:val="18"/>
              </w:rPr>
            </w:r>
          </w:p>
        </w:tc>
      </w:tr>
      <w:tr>
        <w:trPr>
          <w:cantSplit/>
        </w:trPr>
        <w:tc>
          <w:tcPr>
            <w:tcW w:type="dxa" w:w="9978"/>
            <w:tcBorders>
              <w:top w:val="nil"/>
              <w:left w:val="single" w:sz="4" w:color="C9DCEA"/>
              <w:bottom w:val="single" w:sz="4" w:color="C9DCEA"/>
              <w:right w:val="single" w:sz="4" w:color="C9DCEA"/>
            </w:tcBorders>
            <w:tcMar>
              <w:top w:w="140" w:type="dxa"/>
              <w:start w:w="130" w:type="dxa"/>
              <w:bottom w:w="140" w:type="dxa"/>
              <w:end w:w="130" w:type="dxa"/>
            </w:tcMar>
          </w:tcPr>
          <w:p>
            <w:pPr>
              <w:spacing w:before="0" w:after="0" w:line="269" w:lineRule="auto"/>
            </w:pPr>
            <w:r>
              <w:rPr>
                <w:rFonts w:ascii="Arial" w:hAnsi="Arial"/>
                <w:b w:val="0"/>
                <w:i w:val="0"/>
                <w:color w:val="13233A"/>
                <w:sz w:val="18"/>
              </w:rPr>
            </w:r>
          </w:p>
        </w:tc>
      </w:tr>
    </w:tbl>
    <w:sectPr w:rsidR="00FC693F" w:rsidRPr="0006063C" w:rsidSect="00034616">
      <w:footerReference w:type="default" r:id="rId9"/>
      <w:pgSz w:w="11906" w:h="16838"/>
      <w:pgMar w:top="850" w:right="964" w:bottom="907" w:left="964" w:header="510"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40" w:after="0"/>
      <w:jc w:val="center"/>
    </w:pPr>
    <w:r>
      <w:rPr>
        <w:rFonts w:ascii="Arial" w:hAnsi="Arial"/>
        <w:b/>
        <w:color w:val="0057A8"/>
        <w:sz w:val="15"/>
      </w:rPr>
      <w:t>Safety Solutions Training Limited  |  7 Coryton Crescent, Cardiff CF14 7EP</w:t>
      <w:br/>
    </w:r>
    <w:r>
      <w:rPr>
        <w:rFonts w:ascii="Arial" w:hAnsi="Arial"/>
        <w:b w:val="0"/>
        <w:color w:val="5B6B7F"/>
        <w:sz w:val="15"/>
      </w:rPr>
      <w:t>Tel 02920 657753 / 07904 496357  |  safetysolutionstraining.co.uk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78" w:lineRule="auto"/>
    </w:pPr>
    <w:rPr>
      <w:rFonts w:ascii="Arial" w:hAnsi="Arial"/>
      <w:color w:val="13233A"/>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