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PRACTICAL TOOL</w:t>
            </w:r>
          </w:p>
          <w:p>
            <w:pPr>
              <w:spacing w:before="0" w:after="120" w:line="245" w:lineRule="auto"/>
            </w:pPr>
            <w:r>
              <w:rPr>
                <w:rFonts w:ascii="Arial" w:hAnsi="Arial"/>
                <w:b/>
                <w:color w:val="FFFFFF"/>
                <w:sz w:val="42"/>
              </w:rPr>
              <w:t>Scenario Training Design and Evaluation Planner</w:t>
            </w:r>
          </w:p>
          <w:p>
            <w:pPr>
              <w:spacing w:before="0" w:after="0" w:line="293" w:lineRule="auto"/>
            </w:pPr>
            <w:r>
              <w:rPr>
                <w:rFonts w:ascii="Arial" w:hAnsi="Arial"/>
                <w:color w:val="C7D8E8"/>
                <w:sz w:val="20"/>
              </w:rPr>
              <w:t>Connect scenario-led training to risk assessment, observable decisions, psychologically safe facilitation and workplace evaluation.</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Complete the design record before the session, the facilitation record during or immediately after it, and the evaluation section once staff have returned to work. The organisational findings section is often the most valuable part.</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DESIGN RECORD</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Role and task</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Setting</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Foreseeable risk</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Incident or evidence theme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Controls available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Learning objective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Scenario trigger</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Decisions to observe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Organisational assumptions to test</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LEARNER SAFETY AND ACCESSIBILITY</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Purpose and level of realism explained beforehand.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A clear pause method is available and understood.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19"/>
              </w:rPr>
              <w:t>An alternative participation route is offered.</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Access needs identified privately, not in front of the group.</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FFFFF"/>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No surprise physical contact, humiliation or required personal disclosure.</w:t>
            </w:r>
          </w:p>
        </w:tc>
      </w:tr>
      <w:tr>
        <w:trPr>
          <w:cantSplit/>
        </w:trPr>
        <w:tc>
          <w:tcPr>
            <w:tcW w:type="dxa" w:w="709"/>
            <w:shd w:val="clear" w:fill="EAF3FA"/>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jc w:val="center"/>
            </w:pPr>
            <w:r>
              <w:rPr>
                <w:rFonts w:ascii="Arial" w:hAnsi="Arial"/>
                <w:b/>
                <w:i w:val="0"/>
                <w:color w:val="0057A8"/>
                <w:sz w:val="20"/>
              </w:rPr>
              <w:t>[  ]</w:t>
            </w:r>
          </w:p>
        </w:tc>
        <w:tc>
          <w:tcPr>
            <w:tcW w:type="dxa" w:w="9269"/>
            <w:gridSpan w:val="2"/>
            <w:shd w:val="clear" w:fill="F6FAFD"/>
            <w:tcMar>
              <w:top w:w="95" w:type="dxa"/>
              <w:start w:w="0" w:type="dxa"/>
              <w:bottom w:w="95" w:type="dxa"/>
              <w:end w:w="16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19"/>
              </w:rPr>
              <w:t>Observer behaviour and confidentiality defined.</w:t>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FACILITATION RECORD</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What the participant noticed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Decision made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Communication and positioning used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Help or withdrawal route selected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Effect observed</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Feedback given</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Second attempt outcome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4</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ORGANISATIONAL FINDINGS</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Unclear policy</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Manager unavailable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Alarm inaccessible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Unsafe layout</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Staffing gap</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Conflicting script</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Reporting barrier</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Owner and completion date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5</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EVALUATION</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Baseline before training</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Session observation</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Manager follow-up</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Worker confidence</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Report quality</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Incident themes</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Scenario practice does not replace risk reduction, safe staffing, secure work design, equipment or supervision. Attendance does not demonstrate competence, and falling report numbers do not automatically prove that risk has reduced. Adjust the method through competent risk assessment and learner consultation.</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designs and delivers scenario-based training built around the situations your staff actually face, not generic role play. Call 02920 657753 or visit safetysolutionstraining.co.uk.</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single" w:sz="4" w:color="C9DCEA"/>
              <w:left w:val="single" w:sz="4" w:color="C9DCEA"/>
              <w:bottom w:val="single" w:sz="4" w:color="C9DCEA"/>
              <w:right w:val="single" w:sz="4" w:color="C9DCEA"/>
            </w:tcBorders>
            <w:tcMar>
              <w:top w:w="100" w:type="dxa"/>
              <w:start w:w="130" w:type="dxa"/>
              <w:bottom w:w="100" w:type="dxa"/>
              <w:end w:w="130" w:type="dxa"/>
            </w:tcMar>
          </w:tcPr>
          <w:p>
            <w:pPr>
              <w:spacing w:before="0" w:after="0" w:line="269" w:lineRule="auto"/>
            </w:pPr>
            <w:r>
              <w:rPr>
                <w:rFonts w:ascii="Arial" w:hAnsi="Arial"/>
                <w:b/>
                <w:i w:val="0"/>
                <w:caps/>
                <w:color w:val="0057A8"/>
                <w:sz w:val="15"/>
                <w:spacing w:val="14"/>
              </w:rPr>
              <w:t>ADDITIONAL NOTES, ACTIONS AND FOLLOW-UP</w:t>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