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160"/>
        <w:jc w:val="center"/>
        <w:tblLayout w:type="fixed"/>
        <w:tblLook w:firstColumn="1" w:firstRow="1" w:lastColumn="0" w:lastRow="0" w:noHBand="0" w:noVBand="1" w:val="04A0"/>
        <w:tblLayout w:type="fixed"/>
      </w:tblPr>
      <w:tblGrid>
        <w:gridCol w:w="10160"/>
      </w:tblGrid>
      <w:tr>
        <w:tc>
          <w:tcPr>
            <w:tcW w:type="dxa" w:w="10160"/>
            <w:shd w:fill="08243B"/>
            <w:tcMar>
              <w:top w:w="240" w:type="dxa"/>
              <w:start w:w="260" w:type="dxa"/>
              <w:bottom w:w="230" w:type="dxa"/>
              <w:end w:w="260" w:type="dxa"/>
            </w:tcMar>
          </w:tcPr>
          <w:p>
            <w:pPr>
              <w:spacing w:after="80"/>
            </w:pPr>
            <w:r>
              <w:rPr>
                <w:rFonts w:ascii="Arial" w:hAnsi="Arial"/>
                <w:b/>
                <w:color w:val="159FE3"/>
                <w:sz w:val="18"/>
              </w:rPr>
              <w:t>WORKPLACE VIOLENCE</w:t>
            </w:r>
          </w:p>
          <w:p>
            <w:pPr>
              <w:spacing w:after="120"/>
            </w:pPr>
            <w:r>
              <w:rPr>
                <w:rFonts w:ascii="Arial" w:hAnsi="Arial"/>
                <w:b/>
                <w:color w:val="FFFFFF"/>
                <w:sz w:val="52"/>
              </w:rPr>
              <w:t>Risk Assessment</w:t>
            </w:r>
          </w:p>
          <w:p>
            <w:r>
              <w:rPr>
                <w:rFonts w:ascii="Arial" w:hAnsi="Arial"/>
                <w:b w:val="0"/>
                <w:color w:val="FFFFFF"/>
                <w:sz w:val="22"/>
              </w:rPr>
              <w:t>A practical five-point review for employers managing violence, aggression and public-facing risk.</w:t>
            </w:r>
          </w:p>
        </w:tc>
      </w:tr>
    </w:tbl>
    <w:p>
      <w:pPr>
        <w:spacing w:before="180" w:after="160"/>
      </w:pPr>
      <w:r>
        <w:rPr>
          <w:rFonts w:ascii="Arial" w:hAnsi="Arial"/>
          <w:b/>
          <w:color w:val="123A5D"/>
          <w:sz w:val="20"/>
        </w:rPr>
        <w:t xml:space="preserve">How to use this assessment  </w:t>
      </w:r>
      <w:r>
        <w:rPr>
          <w:rFonts w:ascii="Arial" w:hAnsi="Arial"/>
          <w:b w:val="0"/>
          <w:color w:val="102E46"/>
          <w:sz w:val="19"/>
        </w:rPr>
        <w:t>Complete it with workers and managers. Use evidence from real work, assign actions, then retain the completed record within your safety management system.</w:t>
      </w:r>
    </w:p>
    <w:tbl>
      <w:tblPr>
        <w:tblW w:type="dxa" w:w="10160"/>
        <w:jc w:val="center"/>
        <w:tblLayout w:type="fixed"/>
        <w:tblLook w:firstColumn="1" w:firstRow="1" w:lastColumn="0" w:lastRow="0" w:noHBand="0" w:noVBand="1" w:val="04A0"/>
        <w:tblLayout w:type="fixed"/>
      </w:tblPr>
      <w:tblGrid>
        <w:gridCol w:w="5080"/>
        <w:gridCol w:w="5080"/>
      </w:tblGrid>
      <w:tr>
        <w:tc>
          <w:tcPr>
            <w:tcW w:type="dxa" w:w="5080"/>
            <w:tcBorders>
              <w:top w:val="single" w:sz="5" w:color="B8D8EA"/>
              <w:left w:val="single" w:sz="5" w:color="B8D8EA"/>
              <w:bottom w:val="single" w:sz="5" w:color="B8D8EA"/>
              <w:right w:val="single" w:sz="5" w:color="B8D8EA"/>
              <w:insideH w:val="single" w:sz="5" w:color="B8D8EA"/>
              <w:insideV w:val="single" w:sz="5" w:color="B8D8EA"/>
            </w:tcBorders>
            <w:tcMar>
              <w:top w:w="90" w:type="dxa"/>
              <w:start w:w="120" w:type="dxa"/>
              <w:bottom w:w="190" w:type="dxa"/>
              <w:end w:w="120" w:type="dxa"/>
            </w:tcMar>
            <w:shd w:fill="F7FBFE"/>
          </w:tcPr>
          <w:p>
            <w:pPr>
              <w:spacing w:after="0" w:line="269" w:lineRule="auto"/>
            </w:pPr>
            <w:r>
              <w:rPr>
                <w:rFonts w:ascii="Arial" w:hAnsi="Arial"/>
                <w:b/>
                <w:color w:val="123A5D"/>
                <w:sz w:val="15"/>
              </w:rPr>
              <w:t>ORGANISATION / SERVICE</w:t>
            </w:r>
          </w:p>
        </w:tc>
        <w:tc>
          <w:tcPr>
            <w:tcW w:type="dxa" w:w="5080"/>
            <w:tcBorders>
              <w:top w:val="single" w:sz="5" w:color="B8D8EA"/>
              <w:left w:val="single" w:sz="5" w:color="B8D8EA"/>
              <w:bottom w:val="single" w:sz="5" w:color="B8D8EA"/>
              <w:right w:val="single" w:sz="5" w:color="B8D8EA"/>
              <w:insideH w:val="single" w:sz="5" w:color="B8D8EA"/>
              <w:insideV w:val="single" w:sz="5" w:color="B8D8EA"/>
            </w:tcBorders>
            <w:tcMar>
              <w:top w:w="90" w:type="dxa"/>
              <w:start w:w="120" w:type="dxa"/>
              <w:bottom w:w="190" w:type="dxa"/>
              <w:end w:w="120" w:type="dxa"/>
            </w:tcMar>
            <w:shd w:fill="F7FBFE"/>
          </w:tcPr>
          <w:p>
            <w:pPr>
              <w:spacing w:after="0" w:line="269" w:lineRule="auto"/>
            </w:pPr>
            <w:r>
              <w:rPr>
                <w:rFonts w:ascii="Arial" w:hAnsi="Arial"/>
                <w:b/>
                <w:color w:val="123A5D"/>
                <w:sz w:val="15"/>
              </w:rPr>
              <w:t>ASSESSMENT AREA OR ACTIVITY</w:t>
            </w:r>
          </w:p>
        </w:tc>
      </w:tr>
      <w:tr>
        <w:tc>
          <w:tcPr>
            <w:tcW w:type="dxa" w:w="5080"/>
            <w:tcBorders>
              <w:top w:val="single" w:sz="5" w:color="B8D8EA"/>
              <w:left w:val="single" w:sz="5" w:color="B8D8EA"/>
              <w:bottom w:val="single" w:sz="5" w:color="B8D8EA"/>
              <w:right w:val="single" w:sz="5" w:color="B8D8EA"/>
              <w:insideH w:val="single" w:sz="5" w:color="B8D8EA"/>
              <w:insideV w:val="single" w:sz="5" w:color="B8D8EA"/>
            </w:tcBorders>
            <w:tcMar>
              <w:top w:w="90" w:type="dxa"/>
              <w:start w:w="120" w:type="dxa"/>
              <w:bottom w:w="190" w:type="dxa"/>
              <w:end w:w="120" w:type="dxa"/>
            </w:tcMar>
            <w:shd w:fill="F7FBFE"/>
          </w:tcPr>
          <w:p>
            <w:pPr>
              <w:spacing w:after="0" w:line="269" w:lineRule="auto"/>
            </w:pPr>
            <w:r>
              <w:rPr>
                <w:rFonts w:ascii="Arial" w:hAnsi="Arial"/>
                <w:b/>
                <w:color w:val="123A5D"/>
                <w:sz w:val="15"/>
              </w:rPr>
              <w:t>ASSESSOR AND ROLE</w:t>
            </w:r>
          </w:p>
        </w:tc>
        <w:tc>
          <w:tcPr>
            <w:tcW w:type="dxa" w:w="5080"/>
            <w:tcBorders>
              <w:top w:val="single" w:sz="5" w:color="B8D8EA"/>
              <w:left w:val="single" w:sz="5" w:color="B8D8EA"/>
              <w:bottom w:val="single" w:sz="5" w:color="B8D8EA"/>
              <w:right w:val="single" w:sz="5" w:color="B8D8EA"/>
              <w:insideH w:val="single" w:sz="5" w:color="B8D8EA"/>
              <w:insideV w:val="single" w:sz="5" w:color="B8D8EA"/>
            </w:tcBorders>
            <w:tcMar>
              <w:top w:w="90" w:type="dxa"/>
              <w:start w:w="120" w:type="dxa"/>
              <w:bottom w:w="190" w:type="dxa"/>
              <w:end w:w="120" w:type="dxa"/>
            </w:tcMar>
            <w:shd w:fill="F7FBFE"/>
          </w:tcPr>
          <w:p>
            <w:pPr>
              <w:spacing w:after="0" w:line="269" w:lineRule="auto"/>
            </w:pPr>
            <w:r>
              <w:rPr>
                <w:rFonts w:ascii="Arial" w:hAnsi="Arial"/>
                <w:b/>
                <w:color w:val="123A5D"/>
                <w:sz w:val="15"/>
              </w:rPr>
              <w:t>ASSESSMENT DATE</w:t>
            </w:r>
          </w:p>
        </w:tc>
      </w:tr>
      <w:tr>
        <w:tc>
          <w:tcPr>
            <w:tcW w:type="dxa" w:w="5080"/>
            <w:tcBorders>
              <w:top w:val="single" w:sz="5" w:color="B8D8EA"/>
              <w:left w:val="single" w:sz="5" w:color="B8D8EA"/>
              <w:bottom w:val="single" w:sz="5" w:color="B8D8EA"/>
              <w:right w:val="single" w:sz="5" w:color="B8D8EA"/>
              <w:insideH w:val="single" w:sz="5" w:color="B8D8EA"/>
              <w:insideV w:val="single" w:sz="5" w:color="B8D8EA"/>
            </w:tcBorders>
            <w:tcMar>
              <w:top w:w="90" w:type="dxa"/>
              <w:start w:w="120" w:type="dxa"/>
              <w:bottom w:w="190" w:type="dxa"/>
              <w:end w:w="120" w:type="dxa"/>
            </w:tcMar>
            <w:shd w:fill="F7FBFE"/>
          </w:tcPr>
          <w:p>
            <w:pPr>
              <w:spacing w:after="0" w:line="269" w:lineRule="auto"/>
            </w:pPr>
            <w:r>
              <w:rPr>
                <w:rFonts w:ascii="Arial" w:hAnsi="Arial"/>
                <w:b/>
                <w:color w:val="123A5D"/>
                <w:sz w:val="15"/>
              </w:rPr>
              <w:t>PEOPLE CONSULTED</w:t>
            </w:r>
          </w:p>
        </w:tc>
        <w:tc>
          <w:tcPr>
            <w:tcW w:type="dxa" w:w="5080"/>
            <w:tcBorders>
              <w:top w:val="single" w:sz="5" w:color="B8D8EA"/>
              <w:left w:val="single" w:sz="5" w:color="B8D8EA"/>
              <w:bottom w:val="single" w:sz="5" w:color="B8D8EA"/>
              <w:right w:val="single" w:sz="5" w:color="B8D8EA"/>
              <w:insideH w:val="single" w:sz="5" w:color="B8D8EA"/>
              <w:insideV w:val="single" w:sz="5" w:color="B8D8EA"/>
            </w:tcBorders>
            <w:tcMar>
              <w:top w:w="90" w:type="dxa"/>
              <w:start w:w="120" w:type="dxa"/>
              <w:bottom w:w="190" w:type="dxa"/>
              <w:end w:w="120" w:type="dxa"/>
            </w:tcMar>
            <w:shd w:fill="F7FBFE"/>
          </w:tcPr>
          <w:p>
            <w:pPr>
              <w:spacing w:after="0" w:line="269" w:lineRule="auto"/>
            </w:pPr>
            <w:r>
              <w:rPr>
                <w:rFonts w:ascii="Arial" w:hAnsi="Arial"/>
                <w:b/>
                <w:color w:val="123A5D"/>
                <w:sz w:val="15"/>
              </w:rPr>
              <w:t>REVIEW DATE</w:t>
            </w:r>
          </w:p>
        </w:tc>
      </w:tr>
    </w:tbl>
    <w:p>
      <w:pPr>
        <w:spacing w:after="0"/>
      </w:pPr>
    </w:p>
    <w:tbl>
      <w:tblPr>
        <w:tblW w:type="dxa" w:w="10160"/>
        <w:jc w:val="center"/>
        <w:tblLayout w:type="fixed"/>
        <w:tblLook w:firstColumn="1" w:firstRow="1" w:lastColumn="0" w:lastRow="0" w:noHBand="0" w:noVBand="1" w:val="04A0"/>
        <w:tblLayout w:type="fixed"/>
      </w:tblPr>
      <w:tblGrid>
        <w:gridCol w:w="650"/>
        <w:gridCol w:w="9510"/>
      </w:tblGrid>
      <w:tr>
        <w:tc>
          <w:tcPr>
            <w:tcW w:type="dxa" w:w="650"/>
            <w:tcMar>
              <w:top w:w="90" w:type="dxa"/>
              <w:start w:w="80" w:type="dxa"/>
              <w:bottom w:w="90" w:type="dxa"/>
              <w:end w:w="80" w:type="dxa"/>
            </w:tcMar>
            <w:shd w:fill="159FE3"/>
          </w:tcPr>
          <w:p>
            <w:pPr>
              <w:jc w:val="center"/>
            </w:pPr>
            <w:r>
              <w:rPr>
                <w:rFonts w:ascii="Arial" w:hAnsi="Arial"/>
                <w:b/>
                <w:color w:val="FFFFFF"/>
                <w:sz w:val="28"/>
              </w:rPr>
              <w:t>1</w:t>
            </w:r>
          </w:p>
        </w:tc>
        <w:tc>
          <w:tcPr>
            <w:tcW w:type="dxa" w:w="9510"/>
            <w:tcMar>
              <w:top w:w="90" w:type="dxa"/>
              <w:start w:w="140" w:type="dxa"/>
              <w:bottom w:w="90" w:type="dxa"/>
              <w:end w:w="140" w:type="dxa"/>
            </w:tcMar>
            <w:shd w:fill="123A5D"/>
          </w:tcPr>
          <w:p>
            <w:pPr>
              <w:spacing w:after="0" w:line="269" w:lineRule="auto"/>
            </w:pPr>
            <w:r>
              <w:rPr>
                <w:rFonts w:ascii="Arial" w:hAnsi="Arial"/>
                <w:b/>
                <w:color w:val="FFFFFF"/>
                <w:sz w:val="22"/>
              </w:rPr>
              <w:t>IDENTIFY HAZARDS</w:t>
            </w:r>
          </w:p>
        </w:tc>
      </w:tr>
    </w:tbl>
    <w:tbl>
      <w:tblPr>
        <w:tblW w:type="dxa" w:w="10160"/>
        <w:jc w:val="center"/>
        <w:tblLayout w:type="fixed"/>
        <w:tblLook w:firstColumn="1" w:firstRow="1" w:lastColumn="0" w:lastRow="0" w:noHBand="0" w:noVBand="1" w:val="04A0"/>
        <w:tblLayout w:type="fixed"/>
      </w:tblPr>
      <w:tblGrid>
        <w:gridCol w:w="620"/>
        <w:gridCol w:w="9540"/>
      </w:tblGrid>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Consult workers and representatives about abuse, threats, near misses and unreported concerns.</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Identify the roles, tasks, decisions, locations and contact channels with foreseeable risk.</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Review incident, complaint, absence and service data for patterns and repeat concerns.</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Consider people who may face different or additional risk without making assumptions about them.</w:t>
            </w:r>
          </w:p>
        </w:tc>
      </w:tr>
      <w:tr>
        <w:tc>
          <w:tcPr>
            <w:tcW w:type="dxa" w:w="10160"/>
            <w:gridSpan w:val="2"/>
            <w:tcBorders>
              <w:top w:val="single" w:sz="5" w:color="B8D8EA"/>
              <w:left w:val="single" w:sz="5" w:color="B8D8EA"/>
              <w:bottom w:val="single" w:sz="5" w:color="B8D8EA"/>
              <w:right w:val="single" w:sz="5" w:color="B8D8EA"/>
              <w:insideH w:val="single" w:sz="5" w:color="B8D8EA"/>
              <w:insideV w:val="single" w:sz="5" w:color="B8D8EA"/>
            </w:tcBorders>
            <w:tcMar>
              <w:top w:w="80" w:type="dxa"/>
              <w:start w:w="110" w:type="dxa"/>
              <w:bottom w:w="250" w:type="dxa"/>
              <w:end w:w="110" w:type="dxa"/>
            </w:tcMar>
            <w:shd w:fill="F7FBFE"/>
          </w:tcPr>
          <w:p>
            <w:pPr>
              <w:spacing w:after="0" w:line="269" w:lineRule="auto"/>
            </w:pPr>
            <w:r>
              <w:rPr>
                <w:rFonts w:ascii="Arial" w:hAnsi="Arial"/>
                <w:b/>
                <w:color w:val="123A5D"/>
                <w:sz w:val="15"/>
              </w:rPr>
              <w:t>NOTES</w:t>
            </w:r>
          </w:p>
        </w:tc>
      </w:tr>
    </w:tbl>
    <w:p>
      <w:pPr>
        <w:spacing w:after="40"/>
      </w:pPr>
    </w:p>
    <w:tbl>
      <w:tblPr>
        <w:tblW w:type="dxa" w:w="10160"/>
        <w:jc w:val="center"/>
        <w:tblLayout w:type="fixed"/>
        <w:tblLook w:firstColumn="1" w:firstRow="1" w:lastColumn="0" w:lastRow="0" w:noHBand="0" w:noVBand="1" w:val="04A0"/>
        <w:tblLayout w:type="fixed"/>
      </w:tblPr>
      <w:tblGrid>
        <w:gridCol w:w="650"/>
        <w:gridCol w:w="9510"/>
      </w:tblGrid>
      <w:tr>
        <w:tc>
          <w:tcPr>
            <w:tcW w:type="dxa" w:w="650"/>
            <w:tcMar>
              <w:top w:w="90" w:type="dxa"/>
              <w:start w:w="80" w:type="dxa"/>
              <w:bottom w:w="90" w:type="dxa"/>
              <w:end w:w="80" w:type="dxa"/>
            </w:tcMar>
            <w:shd w:fill="159FE3"/>
          </w:tcPr>
          <w:p>
            <w:pPr>
              <w:jc w:val="center"/>
            </w:pPr>
            <w:r>
              <w:rPr>
                <w:rFonts w:ascii="Arial" w:hAnsi="Arial"/>
                <w:b/>
                <w:color w:val="FFFFFF"/>
                <w:sz w:val="28"/>
              </w:rPr>
              <w:t>2</w:t>
            </w:r>
          </w:p>
        </w:tc>
        <w:tc>
          <w:tcPr>
            <w:tcW w:type="dxa" w:w="9510"/>
            <w:tcMar>
              <w:top w:w="90" w:type="dxa"/>
              <w:start w:w="140" w:type="dxa"/>
              <w:bottom w:w="90" w:type="dxa"/>
              <w:end w:w="140" w:type="dxa"/>
            </w:tcMar>
            <w:shd w:fill="123A5D"/>
          </w:tcPr>
          <w:p>
            <w:pPr>
              <w:spacing w:after="0" w:line="269" w:lineRule="auto"/>
            </w:pPr>
            <w:r>
              <w:rPr>
                <w:rFonts w:ascii="Arial" w:hAnsi="Arial"/>
                <w:b/>
                <w:color w:val="FFFFFF"/>
                <w:sz w:val="22"/>
              </w:rPr>
              <w:t>ASSESS THE RISKS</w:t>
            </w:r>
          </w:p>
        </w:tc>
      </w:tr>
    </w:tbl>
    <w:tbl>
      <w:tblPr>
        <w:tblW w:type="dxa" w:w="10160"/>
        <w:jc w:val="center"/>
        <w:tblLayout w:type="fixed"/>
        <w:tblLook w:firstColumn="1" w:firstRow="1" w:lastColumn="0" w:lastRow="0" w:noHBand="0" w:noVBand="1" w:val="04A0"/>
        <w:tblLayout w:type="fixed"/>
      </w:tblPr>
      <w:tblGrid>
        <w:gridCol w:w="620"/>
        <w:gridCol w:w="9540"/>
      </w:tblGrid>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Record who might be harmed and how, including workers, contractors, visitors and members of the public.</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Judge likelihood and potential severity using evidence from the work rather than assumptions.</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Test existing controls against actual exposure, including lone working, locations and contact channels.</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Identify further action, owners and timescales where current controls are insufficient.</w:t>
            </w:r>
          </w:p>
        </w:tc>
      </w:tr>
      <w:tr>
        <w:tc>
          <w:tcPr>
            <w:tcW w:type="dxa" w:w="10160"/>
            <w:gridSpan w:val="2"/>
            <w:tcBorders>
              <w:top w:val="single" w:sz="5" w:color="B8D8EA"/>
              <w:left w:val="single" w:sz="5" w:color="B8D8EA"/>
              <w:bottom w:val="single" w:sz="5" w:color="B8D8EA"/>
              <w:right w:val="single" w:sz="5" w:color="B8D8EA"/>
              <w:insideH w:val="single" w:sz="5" w:color="B8D8EA"/>
              <w:insideV w:val="single" w:sz="5" w:color="B8D8EA"/>
            </w:tcBorders>
            <w:tcMar>
              <w:top w:w="80" w:type="dxa"/>
              <w:start w:w="110" w:type="dxa"/>
              <w:bottom w:w="250" w:type="dxa"/>
              <w:end w:w="110" w:type="dxa"/>
            </w:tcMar>
            <w:shd w:fill="F7FBFE"/>
          </w:tcPr>
          <w:p>
            <w:pPr>
              <w:spacing w:after="0" w:line="269" w:lineRule="auto"/>
            </w:pPr>
            <w:r>
              <w:rPr>
                <w:rFonts w:ascii="Arial" w:hAnsi="Arial"/>
                <w:b/>
                <w:color w:val="123A5D"/>
                <w:sz w:val="15"/>
              </w:rPr>
              <w:t>NOTES</w:t>
            </w:r>
          </w:p>
        </w:tc>
      </w:tr>
    </w:tbl>
    <w:p>
      <w:pPr>
        <w:spacing w:after="40"/>
      </w:pPr>
    </w:p>
    <w:tbl>
      <w:tblPr>
        <w:tblW w:type="dxa" w:w="10160"/>
        <w:jc w:val="center"/>
        <w:tblLayout w:type="fixed"/>
        <w:tblLook w:firstColumn="1" w:firstRow="1" w:lastColumn="0" w:lastRow="0" w:noHBand="0" w:noVBand="1" w:val="04A0"/>
        <w:tblLayout w:type="fixed"/>
      </w:tblPr>
      <w:tblGrid>
        <w:gridCol w:w="650"/>
        <w:gridCol w:w="9510"/>
      </w:tblGrid>
      <w:tr>
        <w:tc>
          <w:tcPr>
            <w:tcW w:type="dxa" w:w="650"/>
            <w:tcMar>
              <w:top w:w="90" w:type="dxa"/>
              <w:start w:w="80" w:type="dxa"/>
              <w:bottom w:w="90" w:type="dxa"/>
              <w:end w:w="80" w:type="dxa"/>
            </w:tcMar>
            <w:shd w:fill="159FE3"/>
          </w:tcPr>
          <w:p>
            <w:pPr>
              <w:jc w:val="center"/>
            </w:pPr>
            <w:r>
              <w:rPr>
                <w:rFonts w:ascii="Arial" w:hAnsi="Arial"/>
                <w:b/>
                <w:color w:val="FFFFFF"/>
                <w:sz w:val="28"/>
              </w:rPr>
              <w:t>3</w:t>
            </w:r>
          </w:p>
        </w:tc>
        <w:tc>
          <w:tcPr>
            <w:tcW w:type="dxa" w:w="9510"/>
            <w:tcMar>
              <w:top w:w="90" w:type="dxa"/>
              <w:start w:w="140" w:type="dxa"/>
              <w:bottom w:w="90" w:type="dxa"/>
              <w:end w:w="140" w:type="dxa"/>
            </w:tcMar>
            <w:shd w:fill="123A5D"/>
          </w:tcPr>
          <w:p>
            <w:pPr>
              <w:spacing w:after="0" w:line="269" w:lineRule="auto"/>
            </w:pPr>
            <w:r>
              <w:rPr>
                <w:rFonts w:ascii="Arial" w:hAnsi="Arial"/>
                <w:b/>
                <w:color w:val="FFFFFF"/>
                <w:sz w:val="22"/>
              </w:rPr>
              <w:t>CONTROL THE RISKS</w:t>
            </w:r>
          </w:p>
        </w:tc>
      </w:tr>
    </w:tbl>
    <w:tbl>
      <w:tblPr>
        <w:tblW w:type="dxa" w:w="10160"/>
        <w:jc w:val="center"/>
        <w:tblLayout w:type="fixed"/>
        <w:tblLook w:firstColumn="1" w:firstRow="1" w:lastColumn="0" w:lastRow="0" w:noHBand="0" w:noVBand="1" w:val="04A0"/>
        <w:tblLayout w:type="fixed"/>
      </w:tblPr>
      <w:tblGrid>
        <w:gridCol w:w="620"/>
        <w:gridCol w:w="9540"/>
      </w:tblGrid>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Consider whether contact, queues, payments, enforcement or refusal decisions can be removed, reduced or redesigned.</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Check staffing, visibility, access, escape routes, barriers, communication and access to help.</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State what staff may do, when to seek help and when to pause, end or leave an interaction.</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Ensure training reflects real work, local procedures and the limits of each worker's role.</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Confirm emergency, police, safeguarding, clinical and specialist escalation routes.</w:t>
            </w:r>
          </w:p>
        </w:tc>
      </w:tr>
      <w:tr>
        <w:tc>
          <w:tcPr>
            <w:tcW w:type="dxa" w:w="10160"/>
            <w:gridSpan w:val="2"/>
            <w:tcBorders>
              <w:top w:val="single" w:sz="5" w:color="B8D8EA"/>
              <w:left w:val="single" w:sz="5" w:color="B8D8EA"/>
              <w:bottom w:val="single" w:sz="5" w:color="B8D8EA"/>
              <w:right w:val="single" w:sz="5" w:color="B8D8EA"/>
              <w:insideH w:val="single" w:sz="5" w:color="B8D8EA"/>
              <w:insideV w:val="single" w:sz="5" w:color="B8D8EA"/>
            </w:tcBorders>
            <w:tcMar>
              <w:top w:w="80" w:type="dxa"/>
              <w:start w:w="110" w:type="dxa"/>
              <w:bottom w:w="250" w:type="dxa"/>
              <w:end w:w="110" w:type="dxa"/>
            </w:tcMar>
            <w:shd w:fill="F7FBFE"/>
          </w:tcPr>
          <w:p>
            <w:pPr>
              <w:spacing w:after="0" w:line="269" w:lineRule="auto"/>
            </w:pPr>
            <w:r>
              <w:rPr>
                <w:rFonts w:ascii="Arial" w:hAnsi="Arial"/>
                <w:b/>
                <w:color w:val="123A5D"/>
                <w:sz w:val="15"/>
              </w:rPr>
              <w:t>NOTES</w:t>
            </w:r>
          </w:p>
        </w:tc>
      </w:tr>
    </w:tbl>
    <w:p>
      <w:pPr>
        <w:spacing w:after="40"/>
      </w:pPr>
    </w:p>
    <w:tbl>
      <w:tblPr>
        <w:tblW w:type="dxa" w:w="10160"/>
        <w:jc w:val="center"/>
        <w:tblLayout w:type="fixed"/>
        <w:tblLook w:firstColumn="1" w:firstRow="1" w:lastColumn="0" w:lastRow="0" w:noHBand="0" w:noVBand="1" w:val="04A0"/>
        <w:tblLayout w:type="fixed"/>
      </w:tblPr>
      <w:tblGrid>
        <w:gridCol w:w="650"/>
        <w:gridCol w:w="9510"/>
      </w:tblGrid>
      <w:tr>
        <w:tc>
          <w:tcPr>
            <w:tcW w:type="dxa" w:w="650"/>
            <w:tcMar>
              <w:top w:w="90" w:type="dxa"/>
              <w:start w:w="80" w:type="dxa"/>
              <w:bottom w:w="90" w:type="dxa"/>
              <w:end w:w="80" w:type="dxa"/>
            </w:tcMar>
            <w:shd w:fill="159FE3"/>
          </w:tcPr>
          <w:p>
            <w:pPr>
              <w:jc w:val="center"/>
            </w:pPr>
            <w:r>
              <w:rPr>
                <w:rFonts w:ascii="Arial" w:hAnsi="Arial"/>
                <w:b/>
                <w:color w:val="FFFFFF"/>
                <w:sz w:val="28"/>
              </w:rPr>
              <w:t>4</w:t>
            </w:r>
          </w:p>
        </w:tc>
        <w:tc>
          <w:tcPr>
            <w:tcW w:type="dxa" w:w="9510"/>
            <w:tcMar>
              <w:top w:w="90" w:type="dxa"/>
              <w:start w:w="140" w:type="dxa"/>
              <w:bottom w:w="90" w:type="dxa"/>
              <w:end w:w="140" w:type="dxa"/>
            </w:tcMar>
            <w:shd w:fill="123A5D"/>
          </w:tcPr>
          <w:p>
            <w:pPr>
              <w:spacing w:after="0" w:line="269" w:lineRule="auto"/>
            </w:pPr>
            <w:r>
              <w:rPr>
                <w:rFonts w:ascii="Arial" w:hAnsi="Arial"/>
                <w:b/>
                <w:color w:val="FFFFFF"/>
                <w:sz w:val="22"/>
              </w:rPr>
              <w:t>RECORD YOUR FINDINGS</w:t>
            </w:r>
          </w:p>
        </w:tc>
      </w:tr>
    </w:tbl>
    <w:tbl>
      <w:tblPr>
        <w:tblW w:type="dxa" w:w="10160"/>
        <w:jc w:val="center"/>
        <w:tblLayout w:type="fixed"/>
        <w:tblLook w:firstColumn="1" w:firstRow="1" w:lastColumn="0" w:lastRow="0" w:noHBand="0" w:noVBand="1" w:val="04A0"/>
        <w:tblLayout w:type="fixed"/>
      </w:tblPr>
      <w:tblGrid>
        <w:gridCol w:w="620"/>
        <w:gridCol w:w="9540"/>
      </w:tblGrid>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Record significant findings: the hazard, who may be harmed, how harm could occur and controls in place.</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Make incident and near-miss reporting quick, accessible and usable.</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Record gaps and actions with a named owner, due date and completion evidence.</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Keep internal incident recording distinct from statutory RIDDOR reporting.</w:t>
            </w:r>
          </w:p>
        </w:tc>
      </w:tr>
      <w:tr>
        <w:tc>
          <w:tcPr>
            <w:tcW w:type="dxa" w:w="10160"/>
            <w:gridSpan w:val="2"/>
            <w:tcBorders>
              <w:top w:val="single" w:sz="5" w:color="B8D8EA"/>
              <w:left w:val="single" w:sz="5" w:color="B8D8EA"/>
              <w:bottom w:val="single" w:sz="5" w:color="B8D8EA"/>
              <w:right w:val="single" w:sz="5" w:color="B8D8EA"/>
              <w:insideH w:val="single" w:sz="5" w:color="B8D8EA"/>
              <w:insideV w:val="single" w:sz="5" w:color="B8D8EA"/>
            </w:tcBorders>
            <w:tcMar>
              <w:top w:w="80" w:type="dxa"/>
              <w:start w:w="110" w:type="dxa"/>
              <w:bottom w:w="250" w:type="dxa"/>
              <w:end w:w="110" w:type="dxa"/>
            </w:tcMar>
            <w:shd w:fill="F7FBFE"/>
          </w:tcPr>
          <w:p>
            <w:pPr>
              <w:spacing w:after="0" w:line="269" w:lineRule="auto"/>
            </w:pPr>
            <w:r>
              <w:rPr>
                <w:rFonts w:ascii="Arial" w:hAnsi="Arial"/>
                <w:b/>
                <w:color w:val="123A5D"/>
                <w:sz w:val="15"/>
              </w:rPr>
              <w:t>NOTES</w:t>
            </w:r>
          </w:p>
        </w:tc>
      </w:tr>
    </w:tbl>
    <w:p>
      <w:pPr>
        <w:spacing w:after="40"/>
      </w:pPr>
    </w:p>
    <w:tbl>
      <w:tblPr>
        <w:tblW w:type="dxa" w:w="10160"/>
        <w:jc w:val="center"/>
        <w:tblLayout w:type="fixed"/>
        <w:tblLook w:firstColumn="1" w:firstRow="1" w:lastColumn="0" w:lastRow="0" w:noHBand="0" w:noVBand="1" w:val="04A0"/>
        <w:tblLayout w:type="fixed"/>
      </w:tblPr>
      <w:tblGrid>
        <w:gridCol w:w="650"/>
        <w:gridCol w:w="9510"/>
      </w:tblGrid>
      <w:tr>
        <w:tc>
          <w:tcPr>
            <w:tcW w:type="dxa" w:w="650"/>
            <w:tcMar>
              <w:top w:w="90" w:type="dxa"/>
              <w:start w:w="80" w:type="dxa"/>
              <w:bottom w:w="90" w:type="dxa"/>
              <w:end w:w="80" w:type="dxa"/>
            </w:tcMar>
            <w:shd w:fill="159FE3"/>
          </w:tcPr>
          <w:p>
            <w:pPr>
              <w:jc w:val="center"/>
            </w:pPr>
            <w:r>
              <w:rPr>
                <w:rFonts w:ascii="Arial" w:hAnsi="Arial"/>
                <w:b/>
                <w:color w:val="FFFFFF"/>
                <w:sz w:val="28"/>
              </w:rPr>
              <w:t>5</w:t>
            </w:r>
          </w:p>
        </w:tc>
        <w:tc>
          <w:tcPr>
            <w:tcW w:type="dxa" w:w="9510"/>
            <w:tcMar>
              <w:top w:w="90" w:type="dxa"/>
              <w:start w:w="140" w:type="dxa"/>
              <w:bottom w:w="90" w:type="dxa"/>
              <w:end w:w="140" w:type="dxa"/>
            </w:tcMar>
            <w:shd w:fill="123A5D"/>
          </w:tcPr>
          <w:p>
            <w:pPr>
              <w:spacing w:after="0" w:line="269" w:lineRule="auto"/>
            </w:pPr>
            <w:r>
              <w:rPr>
                <w:rFonts w:ascii="Arial" w:hAnsi="Arial"/>
                <w:b/>
                <w:color w:val="FFFFFF"/>
                <w:sz w:val="22"/>
              </w:rPr>
              <w:t>REVIEW THE CONTROLS</w:t>
            </w:r>
          </w:p>
        </w:tc>
      </w:tr>
    </w:tbl>
    <w:tbl>
      <w:tblPr>
        <w:tblW w:type="dxa" w:w="10160"/>
        <w:jc w:val="center"/>
        <w:tblLayout w:type="fixed"/>
        <w:tblLook w:firstColumn="1" w:firstRow="1" w:lastColumn="0" w:lastRow="0" w:noHBand="0" w:noVBand="1" w:val="04A0"/>
        <w:tblLayout w:type="fixed"/>
      </w:tblPr>
      <w:tblGrid>
        <w:gridCol w:w="620"/>
        <w:gridCol w:w="9540"/>
      </w:tblGrid>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Check whether controls work in practice and repeat the review after incidents, changes or credible concerns.</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Review immediate physical and psychological welfare for those directly involved and witnesses.</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Preserve relevant records and digital material without continuing unsafe contact.</w:t>
            </w:r>
          </w:p>
        </w:tc>
      </w:tr>
      <w:tr>
        <w:tc>
          <w:tcPr>
            <w:tcW w:type="dxa" w:w="62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shd w:fill="EAF5FC"/>
          </w:tcPr>
          <w:p>
            <w:pPr>
              <w:jc w:val="center"/>
            </w:pPr>
            <w:r>
              <w:rPr>
                <w:rFonts w:ascii="Arial" w:hAnsi="Arial"/>
                <w:b w:val="0"/>
                <w:color w:val="159FE3"/>
                <w:sz w:val="26"/>
              </w:rPr>
              <w:t>☐</w:t>
            </w:r>
          </w:p>
        </w:tc>
        <w:tc>
          <w:tcPr>
            <w:tcW w:type="dxa" w:w="9540"/>
            <w:tcBorders>
              <w:top w:val="single" w:sz="5" w:color="B8D8EA"/>
              <w:left w:val="single" w:sz="5" w:color="B8D8EA"/>
              <w:bottom w:val="single" w:sz="5" w:color="B8D8EA"/>
              <w:right w:val="single" w:sz="5" w:color="B8D8EA"/>
              <w:insideH w:val="single" w:sz="5" w:color="B8D8EA"/>
              <w:insideV w:val="single" w:sz="5" w:color="B8D8EA"/>
            </w:tcBorders>
            <w:tcMar>
              <w:top w:w="95" w:type="dxa"/>
              <w:start w:w="110" w:type="dxa"/>
              <w:bottom w:w="95" w:type="dxa"/>
              <w:end w:w="110" w:type="dxa"/>
            </w:tcMar>
          </w:tcPr>
          <w:p>
            <w:pPr>
              <w:spacing w:after="0" w:line="269" w:lineRule="auto"/>
            </w:pPr>
            <w:r>
              <w:rPr>
                <w:rFonts w:ascii="Arial" w:hAnsi="Arial"/>
                <w:b w:val="0"/>
                <w:color w:val="102E46"/>
                <w:sz w:val="17"/>
              </w:rPr>
              <w:t>Update the assessment, procedures, information and training when findings require it.</w:t>
            </w:r>
          </w:p>
        </w:tc>
      </w:tr>
      <w:tr>
        <w:tc>
          <w:tcPr>
            <w:tcW w:type="dxa" w:w="10160"/>
            <w:gridSpan w:val="2"/>
            <w:tcBorders>
              <w:top w:val="single" w:sz="5" w:color="B8D8EA"/>
              <w:left w:val="single" w:sz="5" w:color="B8D8EA"/>
              <w:bottom w:val="single" w:sz="5" w:color="B8D8EA"/>
              <w:right w:val="single" w:sz="5" w:color="B8D8EA"/>
              <w:insideH w:val="single" w:sz="5" w:color="B8D8EA"/>
              <w:insideV w:val="single" w:sz="5" w:color="B8D8EA"/>
            </w:tcBorders>
            <w:tcMar>
              <w:top w:w="80" w:type="dxa"/>
              <w:start w:w="110" w:type="dxa"/>
              <w:bottom w:w="250" w:type="dxa"/>
              <w:end w:w="110" w:type="dxa"/>
            </w:tcMar>
            <w:shd w:fill="F7FBFE"/>
          </w:tcPr>
          <w:p>
            <w:pPr>
              <w:spacing w:after="0" w:line="269" w:lineRule="auto"/>
            </w:pPr>
            <w:r>
              <w:rPr>
                <w:rFonts w:ascii="Arial" w:hAnsi="Arial"/>
                <w:b/>
                <w:color w:val="123A5D"/>
                <w:sz w:val="15"/>
              </w:rPr>
              <w:t>NOTES</w:t>
            </w:r>
          </w:p>
        </w:tc>
      </w:tr>
    </w:tbl>
    <w:p>
      <w:pPr>
        <w:spacing w:after="40"/>
      </w:pPr>
    </w:p>
    <w:p>
      <w:r>
        <w:br w:type="page"/>
      </w:r>
    </w:p>
    <w:p>
      <w:pPr>
        <w:spacing w:after="60"/>
      </w:pPr>
      <w:r>
        <w:rPr>
          <w:rFonts w:ascii="Arial" w:hAnsi="Arial"/>
          <w:b/>
          <w:color w:val="08243B"/>
          <w:sz w:val="40"/>
        </w:rPr>
        <w:t>Priority action record</w:t>
      </w:r>
    </w:p>
    <w:p>
      <w:r>
        <w:rPr>
          <w:rFonts w:ascii="Arial" w:hAnsi="Arial"/>
          <w:b w:val="0"/>
          <w:color w:val="526B7D"/>
          <w:sz w:val="20"/>
        </w:rPr>
        <w:t>Translate each material gap into an owned action. Record completion evidence rather than relying on intention alone.</w:t>
      </w:r>
    </w:p>
    <w:tbl>
      <w:tblPr>
        <w:tblW w:type="dxa" w:w="10160"/>
        <w:jc w:val="center"/>
        <w:tblLayout w:type="fixed"/>
        <w:tblLook w:firstColumn="1" w:firstRow="1" w:lastColumn="0" w:lastRow="0" w:noHBand="0" w:noVBand="1" w:val="04A0"/>
        <w:tblLayout w:type="fixed"/>
      </w:tblPr>
      <w:tblGrid>
        <w:gridCol w:w="3600"/>
        <w:gridCol w:w="1700"/>
        <w:gridCol w:w="1250"/>
        <w:gridCol w:w="1250"/>
        <w:gridCol w:w="2360"/>
      </w:tblGrid>
      <w:tr>
        <w:tc>
          <w:tcPr>
            <w:tcW w:type="dxa" w:w="3600"/>
            <w:shd w:fill="123A5D"/>
            <w:tcMar>
              <w:top w:w="100" w:type="dxa"/>
              <w:start w:w="100" w:type="dxa"/>
              <w:bottom w:w="100" w:type="dxa"/>
              <w:end w:w="100" w:type="dxa"/>
            </w:tcMar>
            <w:tcBorders>
              <w:top w:val="single" w:sz="6" w:color="62B8E8"/>
              <w:left w:val="single" w:sz="6" w:color="62B8E8"/>
              <w:bottom w:val="single" w:sz="6" w:color="62B8E8"/>
              <w:right w:val="single" w:sz="6" w:color="62B8E8"/>
              <w:insideH w:val="single" w:sz="6" w:color="62B8E8"/>
              <w:insideV w:val="single" w:sz="6" w:color="62B8E8"/>
            </w:tcBorders>
          </w:tcPr>
          <w:p>
            <w:pPr>
              <w:spacing w:after="0" w:line="269" w:lineRule="auto"/>
            </w:pPr>
            <w:r>
              <w:rPr>
                <w:rFonts w:ascii="Arial" w:hAnsi="Arial"/>
                <w:b/>
                <w:color w:val="FFFFFF"/>
                <w:sz w:val="15"/>
              </w:rPr>
              <w:t>GAP OR ACTION</w:t>
            </w:r>
          </w:p>
        </w:tc>
        <w:tc>
          <w:tcPr>
            <w:tcW w:type="dxa" w:w="1700"/>
            <w:shd w:fill="123A5D"/>
            <w:tcMar>
              <w:top w:w="100" w:type="dxa"/>
              <w:start w:w="100" w:type="dxa"/>
              <w:bottom w:w="100" w:type="dxa"/>
              <w:end w:w="100" w:type="dxa"/>
            </w:tcMar>
            <w:tcBorders>
              <w:top w:val="single" w:sz="6" w:color="62B8E8"/>
              <w:left w:val="single" w:sz="6" w:color="62B8E8"/>
              <w:bottom w:val="single" w:sz="6" w:color="62B8E8"/>
              <w:right w:val="single" w:sz="6" w:color="62B8E8"/>
              <w:insideH w:val="single" w:sz="6" w:color="62B8E8"/>
              <w:insideV w:val="single" w:sz="6" w:color="62B8E8"/>
            </w:tcBorders>
          </w:tcPr>
          <w:p>
            <w:pPr>
              <w:spacing w:after="0" w:line="269" w:lineRule="auto"/>
            </w:pPr>
            <w:r>
              <w:rPr>
                <w:rFonts w:ascii="Arial" w:hAnsi="Arial"/>
                <w:b/>
                <w:color w:val="FFFFFF"/>
                <w:sz w:val="15"/>
              </w:rPr>
              <w:t>OWNER</w:t>
            </w:r>
          </w:p>
        </w:tc>
        <w:tc>
          <w:tcPr>
            <w:tcW w:type="dxa" w:w="1250"/>
            <w:shd w:fill="123A5D"/>
            <w:tcMar>
              <w:top w:w="100" w:type="dxa"/>
              <w:start w:w="100" w:type="dxa"/>
              <w:bottom w:w="100" w:type="dxa"/>
              <w:end w:w="100" w:type="dxa"/>
            </w:tcMar>
            <w:tcBorders>
              <w:top w:val="single" w:sz="6" w:color="62B8E8"/>
              <w:left w:val="single" w:sz="6" w:color="62B8E8"/>
              <w:bottom w:val="single" w:sz="6" w:color="62B8E8"/>
              <w:right w:val="single" w:sz="6" w:color="62B8E8"/>
              <w:insideH w:val="single" w:sz="6" w:color="62B8E8"/>
              <w:insideV w:val="single" w:sz="6" w:color="62B8E8"/>
            </w:tcBorders>
          </w:tcPr>
          <w:p>
            <w:pPr>
              <w:spacing w:after="0" w:line="269" w:lineRule="auto"/>
            </w:pPr>
            <w:r>
              <w:rPr>
                <w:rFonts w:ascii="Arial" w:hAnsi="Arial"/>
                <w:b/>
                <w:color w:val="FFFFFF"/>
                <w:sz w:val="15"/>
              </w:rPr>
              <w:t>PRIORITY</w:t>
            </w:r>
          </w:p>
        </w:tc>
        <w:tc>
          <w:tcPr>
            <w:tcW w:type="dxa" w:w="1250"/>
            <w:shd w:fill="123A5D"/>
            <w:tcMar>
              <w:top w:w="100" w:type="dxa"/>
              <w:start w:w="100" w:type="dxa"/>
              <w:bottom w:w="100" w:type="dxa"/>
              <w:end w:w="100" w:type="dxa"/>
            </w:tcMar>
            <w:tcBorders>
              <w:top w:val="single" w:sz="6" w:color="62B8E8"/>
              <w:left w:val="single" w:sz="6" w:color="62B8E8"/>
              <w:bottom w:val="single" w:sz="6" w:color="62B8E8"/>
              <w:right w:val="single" w:sz="6" w:color="62B8E8"/>
              <w:insideH w:val="single" w:sz="6" w:color="62B8E8"/>
              <w:insideV w:val="single" w:sz="6" w:color="62B8E8"/>
            </w:tcBorders>
          </w:tcPr>
          <w:p>
            <w:pPr>
              <w:spacing w:after="0" w:line="269" w:lineRule="auto"/>
            </w:pPr>
            <w:r>
              <w:rPr>
                <w:rFonts w:ascii="Arial" w:hAnsi="Arial"/>
                <w:b/>
                <w:color w:val="FFFFFF"/>
                <w:sz w:val="15"/>
              </w:rPr>
              <w:t>DUE DATE</w:t>
            </w:r>
          </w:p>
        </w:tc>
        <w:tc>
          <w:tcPr>
            <w:tcW w:type="dxa" w:w="2360"/>
            <w:shd w:fill="123A5D"/>
            <w:tcMar>
              <w:top w:w="100" w:type="dxa"/>
              <w:start w:w="100" w:type="dxa"/>
              <w:bottom w:w="100" w:type="dxa"/>
              <w:end w:w="100" w:type="dxa"/>
            </w:tcMar>
            <w:tcBorders>
              <w:top w:val="single" w:sz="6" w:color="62B8E8"/>
              <w:left w:val="single" w:sz="6" w:color="62B8E8"/>
              <w:bottom w:val="single" w:sz="6" w:color="62B8E8"/>
              <w:right w:val="single" w:sz="6" w:color="62B8E8"/>
              <w:insideH w:val="single" w:sz="6" w:color="62B8E8"/>
              <w:insideV w:val="single" w:sz="6" w:color="62B8E8"/>
            </w:tcBorders>
          </w:tcPr>
          <w:p>
            <w:pPr>
              <w:spacing w:after="0" w:line="269" w:lineRule="auto"/>
            </w:pPr>
            <w:r>
              <w:rPr>
                <w:rFonts w:ascii="Arial" w:hAnsi="Arial"/>
                <w:b/>
                <w:color w:val="FFFFFF"/>
                <w:sz w:val="15"/>
              </w:rPr>
              <w:t>COMPLETION EVIDENCE</w:t>
            </w:r>
          </w:p>
        </w:tc>
      </w:tr>
      <w:tr>
        <w:tc>
          <w:tcPr>
            <w:tcW w:type="dxa" w:w="36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7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236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r>
      <w:tr>
        <w:tc>
          <w:tcPr>
            <w:tcW w:type="dxa" w:w="36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7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236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r>
      <w:tr>
        <w:tc>
          <w:tcPr>
            <w:tcW w:type="dxa" w:w="36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7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236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r>
      <w:tr>
        <w:tc>
          <w:tcPr>
            <w:tcW w:type="dxa" w:w="36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7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236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r>
      <w:tr>
        <w:tc>
          <w:tcPr>
            <w:tcW w:type="dxa" w:w="36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7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236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r>
      <w:tr>
        <w:tc>
          <w:tcPr>
            <w:tcW w:type="dxa" w:w="36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70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125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c>
          <w:tcPr>
            <w:tcW w:type="dxa" w:w="2360"/>
            <w:tcBorders>
              <w:top w:val="single" w:sz="6" w:color="62B8E8"/>
              <w:left w:val="single" w:sz="6" w:color="62B8E8"/>
              <w:bottom w:val="single" w:sz="6" w:color="62B8E8"/>
              <w:right w:val="single" w:sz="6" w:color="62B8E8"/>
              <w:insideH w:val="single" w:sz="6" w:color="62B8E8"/>
              <w:insideV w:val="single" w:sz="6" w:color="62B8E8"/>
            </w:tcBorders>
            <w:tcMar>
              <w:top w:w="110" w:type="dxa"/>
              <w:start w:w="100" w:type="dxa"/>
              <w:bottom w:w="360" w:type="dxa"/>
              <w:end w:w="100" w:type="dxa"/>
            </w:tcMar>
          </w:tcPr>
          <w:p/>
        </w:tc>
      </w:tr>
    </w:tbl>
    <w:p>
      <w:pPr>
        <w:spacing w:before="280"/>
      </w:pPr>
      <w:r>
        <w:rPr>
          <w:rFonts w:ascii="Arial" w:hAnsi="Arial"/>
          <w:b/>
          <w:color w:val="123A5D"/>
          <w:sz w:val="28"/>
        </w:rPr>
        <w:t>Assessment decision</w:t>
      </w:r>
    </w:p>
    <w:tbl>
      <w:tblPr>
        <w:tblW w:type="dxa" w:w="10160"/>
        <w:jc w:val="center"/>
        <w:tblLayout w:type="fixed"/>
        <w:tblLook w:firstColumn="1" w:firstRow="1" w:lastColumn="0" w:lastRow="0" w:noHBand="0" w:noVBand="1" w:val="04A0"/>
        <w:tblLayout w:type="fixed"/>
      </w:tblPr>
      <w:tblGrid>
        <w:gridCol w:w="2450"/>
        <w:gridCol w:w="7710"/>
      </w:tblGrid>
      <w:tr>
        <w:tc>
          <w:tcPr>
            <w:tcW w:type="dxa" w:w="2450"/>
            <w:tcBorders>
              <w:top w:val="single" w:sz="6" w:color="62B8E8"/>
              <w:left w:val="single" w:sz="6" w:color="62B8E8"/>
              <w:bottom w:val="single" w:sz="6" w:color="62B8E8"/>
              <w:right w:val="single" w:sz="6" w:color="62B8E8"/>
              <w:insideH w:val="single" w:sz="6" w:color="62B8E8"/>
              <w:insideV w:val="single" w:sz="6" w:color="62B8E8"/>
            </w:tcBorders>
            <w:shd w:fill="EAF5FC"/>
            <w:tcMar>
              <w:top w:w="100" w:type="dxa"/>
              <w:start w:w="120" w:type="dxa"/>
              <w:bottom w:w="160" w:type="dxa"/>
              <w:end w:w="120" w:type="dxa"/>
            </w:tcMar>
          </w:tcPr>
          <w:p>
            <w:pPr>
              <w:spacing w:after="0" w:line="269" w:lineRule="auto"/>
            </w:pPr>
            <w:r>
              <w:rPr>
                <w:rFonts w:ascii="Arial" w:hAnsi="Arial"/>
                <w:b/>
                <w:color w:val="123A5D"/>
                <w:sz w:val="16"/>
              </w:rPr>
              <w:t>OVERALL JUDGEMENT</w:t>
            </w:r>
          </w:p>
        </w:tc>
        <w:tc>
          <w:tcPr>
            <w:tcW w:type="dxa" w:w="7710"/>
            <w:tcBorders>
              <w:top w:val="single" w:sz="6" w:color="62B8E8"/>
              <w:left w:val="single" w:sz="6" w:color="62B8E8"/>
              <w:bottom w:val="single" w:sz="6" w:color="62B8E8"/>
              <w:right w:val="single" w:sz="6" w:color="62B8E8"/>
              <w:insideH w:val="single" w:sz="6" w:color="62B8E8"/>
              <w:insideV w:val="single" w:sz="6" w:color="62B8E8"/>
            </w:tcBorders>
            <w:tcMar>
              <w:top w:w="100" w:type="dxa"/>
              <w:start w:w="120" w:type="dxa"/>
              <w:bottom w:w="160" w:type="dxa"/>
              <w:end w:w="120" w:type="dxa"/>
            </w:tcMar>
          </w:tcPr>
          <w:p/>
        </w:tc>
      </w:tr>
      <w:tr>
        <w:tc>
          <w:tcPr>
            <w:tcW w:type="dxa" w:w="2450"/>
            <w:tcBorders>
              <w:top w:val="single" w:sz="6" w:color="62B8E8"/>
              <w:left w:val="single" w:sz="6" w:color="62B8E8"/>
              <w:bottom w:val="single" w:sz="6" w:color="62B8E8"/>
              <w:right w:val="single" w:sz="6" w:color="62B8E8"/>
              <w:insideH w:val="single" w:sz="6" w:color="62B8E8"/>
              <w:insideV w:val="single" w:sz="6" w:color="62B8E8"/>
            </w:tcBorders>
            <w:shd w:fill="EAF5FC"/>
            <w:tcMar>
              <w:top w:w="100" w:type="dxa"/>
              <w:start w:w="120" w:type="dxa"/>
              <w:bottom w:w="160" w:type="dxa"/>
              <w:end w:w="120" w:type="dxa"/>
            </w:tcMar>
          </w:tcPr>
          <w:p>
            <w:pPr>
              <w:spacing w:after="0" w:line="269" w:lineRule="auto"/>
            </w:pPr>
            <w:r>
              <w:rPr>
                <w:rFonts w:ascii="Arial" w:hAnsi="Arial"/>
                <w:b/>
                <w:color w:val="123A5D"/>
                <w:sz w:val="16"/>
              </w:rPr>
              <w:t>IMMEDIATE ACTION REQUIRED</w:t>
            </w:r>
          </w:p>
        </w:tc>
        <w:tc>
          <w:tcPr>
            <w:tcW w:type="dxa" w:w="7710"/>
            <w:tcBorders>
              <w:top w:val="single" w:sz="6" w:color="62B8E8"/>
              <w:left w:val="single" w:sz="6" w:color="62B8E8"/>
              <w:bottom w:val="single" w:sz="6" w:color="62B8E8"/>
              <w:right w:val="single" w:sz="6" w:color="62B8E8"/>
              <w:insideH w:val="single" w:sz="6" w:color="62B8E8"/>
              <w:insideV w:val="single" w:sz="6" w:color="62B8E8"/>
            </w:tcBorders>
            <w:tcMar>
              <w:top w:w="100" w:type="dxa"/>
              <w:start w:w="120" w:type="dxa"/>
              <w:bottom w:w="160" w:type="dxa"/>
              <w:end w:w="120" w:type="dxa"/>
            </w:tcMar>
          </w:tcPr>
          <w:p/>
        </w:tc>
      </w:tr>
      <w:tr>
        <w:tc>
          <w:tcPr>
            <w:tcW w:type="dxa" w:w="2450"/>
            <w:tcBorders>
              <w:top w:val="single" w:sz="6" w:color="62B8E8"/>
              <w:left w:val="single" w:sz="6" w:color="62B8E8"/>
              <w:bottom w:val="single" w:sz="6" w:color="62B8E8"/>
              <w:right w:val="single" w:sz="6" w:color="62B8E8"/>
              <w:insideH w:val="single" w:sz="6" w:color="62B8E8"/>
              <w:insideV w:val="single" w:sz="6" w:color="62B8E8"/>
            </w:tcBorders>
            <w:shd w:fill="EAF5FC"/>
            <w:tcMar>
              <w:top w:w="100" w:type="dxa"/>
              <w:start w:w="120" w:type="dxa"/>
              <w:bottom w:w="160" w:type="dxa"/>
              <w:end w:w="120" w:type="dxa"/>
            </w:tcMar>
          </w:tcPr>
          <w:p>
            <w:pPr>
              <w:spacing w:after="0" w:line="269" w:lineRule="auto"/>
            </w:pPr>
            <w:r>
              <w:rPr>
                <w:rFonts w:ascii="Arial" w:hAnsi="Arial"/>
                <w:b/>
                <w:color w:val="123A5D"/>
                <w:sz w:val="16"/>
              </w:rPr>
              <w:t>RESPONSIBLE MANAGER</w:t>
            </w:r>
          </w:p>
        </w:tc>
        <w:tc>
          <w:tcPr>
            <w:tcW w:type="dxa" w:w="7710"/>
            <w:tcBorders>
              <w:top w:val="single" w:sz="6" w:color="62B8E8"/>
              <w:left w:val="single" w:sz="6" w:color="62B8E8"/>
              <w:bottom w:val="single" w:sz="6" w:color="62B8E8"/>
              <w:right w:val="single" w:sz="6" w:color="62B8E8"/>
              <w:insideH w:val="single" w:sz="6" w:color="62B8E8"/>
              <w:insideV w:val="single" w:sz="6" w:color="62B8E8"/>
            </w:tcBorders>
            <w:tcMar>
              <w:top w:w="100" w:type="dxa"/>
              <w:start w:w="120" w:type="dxa"/>
              <w:bottom w:w="160" w:type="dxa"/>
              <w:end w:w="120" w:type="dxa"/>
            </w:tcMar>
          </w:tcPr>
          <w:p/>
        </w:tc>
      </w:tr>
      <w:tr>
        <w:tc>
          <w:tcPr>
            <w:tcW w:type="dxa" w:w="2450"/>
            <w:tcBorders>
              <w:top w:val="single" w:sz="6" w:color="62B8E8"/>
              <w:left w:val="single" w:sz="6" w:color="62B8E8"/>
              <w:bottom w:val="single" w:sz="6" w:color="62B8E8"/>
              <w:right w:val="single" w:sz="6" w:color="62B8E8"/>
              <w:insideH w:val="single" w:sz="6" w:color="62B8E8"/>
              <w:insideV w:val="single" w:sz="6" w:color="62B8E8"/>
            </w:tcBorders>
            <w:shd w:fill="EAF5FC"/>
            <w:tcMar>
              <w:top w:w="100" w:type="dxa"/>
              <w:start w:w="120" w:type="dxa"/>
              <w:bottom w:w="160" w:type="dxa"/>
              <w:end w:w="120" w:type="dxa"/>
            </w:tcMar>
          </w:tcPr>
          <w:p>
            <w:pPr>
              <w:spacing w:after="0" w:line="269" w:lineRule="auto"/>
            </w:pPr>
            <w:r>
              <w:rPr>
                <w:rFonts w:ascii="Arial" w:hAnsi="Arial"/>
                <w:b/>
                <w:color w:val="123A5D"/>
                <w:sz w:val="16"/>
              </w:rPr>
              <w:t>APPROVAL AND REVIEW DATE</w:t>
            </w:r>
          </w:p>
        </w:tc>
        <w:tc>
          <w:tcPr>
            <w:tcW w:type="dxa" w:w="7710"/>
            <w:tcBorders>
              <w:top w:val="single" w:sz="6" w:color="62B8E8"/>
              <w:left w:val="single" w:sz="6" w:color="62B8E8"/>
              <w:bottom w:val="single" w:sz="6" w:color="62B8E8"/>
              <w:right w:val="single" w:sz="6" w:color="62B8E8"/>
              <w:insideH w:val="single" w:sz="6" w:color="62B8E8"/>
              <w:insideV w:val="single" w:sz="6" w:color="62B8E8"/>
            </w:tcBorders>
            <w:tcMar>
              <w:top w:w="100" w:type="dxa"/>
              <w:start w:w="120" w:type="dxa"/>
              <w:bottom w:w="160" w:type="dxa"/>
              <w:end w:w="120" w:type="dxa"/>
            </w:tcMar>
          </w:tcPr>
          <w:p/>
        </w:tc>
      </w:tr>
    </w:tbl>
    <w:tbl>
      <w:tblPr>
        <w:tblW w:type="dxa" w:w="10160"/>
        <w:jc w:val="center"/>
        <w:tblLayout w:type="fixed"/>
        <w:tblLook w:firstColumn="1" w:firstRow="1" w:lastColumn="0" w:lastRow="0" w:noHBand="0" w:noVBand="1" w:val="04A0"/>
        <w:tblLayout w:type="fixed"/>
      </w:tblPr>
      <w:tblGrid>
        <w:gridCol w:w="10160"/>
      </w:tblGrid>
      <w:tr>
        <w:tc>
          <w:tcPr>
            <w:tcW w:type="dxa" w:w="10160"/>
            <w:shd w:fill="EAF5FC"/>
            <w:tcBorders>
              <w:top w:val="single" w:sz="10" w:color="159FE3"/>
              <w:left w:val="single" w:sz="10" w:color="159FE3"/>
              <w:bottom w:val="single" w:sz="10" w:color="159FE3"/>
              <w:right w:val="single" w:sz="10" w:color="159FE3"/>
              <w:insideH w:val="single" w:sz="10" w:color="159FE3"/>
              <w:insideV w:val="single" w:sz="10" w:color="159FE3"/>
            </w:tcBorders>
            <w:tcMar>
              <w:top w:w="160" w:type="dxa"/>
              <w:start w:w="180" w:type="dxa"/>
              <w:bottom w:w="160" w:type="dxa"/>
              <w:end w:w="180" w:type="dxa"/>
            </w:tcMar>
          </w:tcPr>
          <w:p>
            <w:r>
              <w:rPr>
                <w:rFonts w:ascii="Arial" w:hAnsi="Arial"/>
                <w:b/>
                <w:color w:val="123A5D"/>
                <w:sz w:val="20"/>
              </w:rPr>
              <w:t>Important limits</w:t>
            </w:r>
          </w:p>
          <w:p>
            <w:pPr>
              <w:spacing w:after="0"/>
            </w:pPr>
            <w:r>
              <w:rPr>
                <w:rFonts w:ascii="Arial" w:hAnsi="Arial"/>
                <w:b w:val="0"/>
                <w:color w:val="102E46"/>
                <w:sz w:val="17"/>
              </w:rPr>
              <w:t>This tool supports, but does not replace, a suitable and sufficient risk assessment or competent advice. Adapt it to the work, people, environment and known incident pattern. Check current HSE and RIDDOR guidance and seek specialist legal, equality, safeguarding, clinical or data-protection advice where required.</w:t>
            </w:r>
          </w:p>
        </w:tc>
      </w:tr>
    </w:tbl>
    <w:p>
      <w:pPr>
        <w:spacing w:before="200" w:after="40"/>
      </w:pPr>
      <w:r>
        <w:rPr>
          <w:rFonts w:ascii="Arial" w:hAnsi="Arial"/>
          <w:b/>
          <w:color w:val="123A5D"/>
          <w:sz w:val="18"/>
        </w:rPr>
        <w:t>Evidence base and further guidance</w:t>
      </w:r>
    </w:p>
    <w:p>
      <w:pPr>
        <w:spacing w:after="0"/>
      </w:pPr>
      <w:r>
        <w:rPr>
          <w:rFonts w:ascii="Arial" w:hAnsi="Arial"/>
          <w:b w:val="0"/>
          <w:color w:val="526B7D"/>
          <w:sz w:val="15"/>
        </w:rPr>
        <w:t>HSE: Violence and aggression at work; HSE: Steps needed to manage risk; Health and Safety at Work etc. Act 1974, section 2; Management of Health and Safety at Work Regulations 1999, regulation 3. Visit safetysolutionstraining.co.uk/knowledge for maintained employer guidance.</w:t>
      </w:r>
    </w:p>
    <w:sectPr w:rsidR="00FC693F" w:rsidRPr="0006063C" w:rsidSect="00034616">
      <w:headerReference w:type="default" r:id="rId9"/>
      <w:footerReference w:type="default" r:id="rId10"/>
      <w:pgSz w:w="11906" w:h="16838"/>
      <w:pgMar w:top="893" w:right="870" w:bottom="893" w:left="870" w:header="432"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60"/>
      <w:jc w:val="center"/>
      <w:tblLayout w:type="fixed"/>
      <w:tblLook w:firstColumn="1" w:firstRow="1" w:lastColumn="0" w:lastRow="0" w:noHBand="0" w:noVBand="1" w:val="04A0"/>
      <w:tblLayout w:type="fixed"/>
    </w:tblPr>
    <w:tblGrid>
      <w:gridCol w:w="6200"/>
      <w:gridCol w:w="3960"/>
    </w:tblGrid>
    <w:tr>
      <w:tc>
        <w:tcPr>
          <w:tcW w:type="dxa" w:w="6200"/>
        </w:tcPr>
        <w:p>
          <w:r>
            <w:drawing>
              <wp:inline xmlns:a="http://schemas.openxmlformats.org/drawingml/2006/main" xmlns:pic="http://schemas.openxmlformats.org/drawingml/2006/picture">
                <wp:extent cx="1417320" cy="369301"/>
                <wp:docPr id="1" name="Picture 1"/>
                <wp:cNvGraphicFramePr>
                  <a:graphicFrameLocks noChangeAspect="1"/>
                </wp:cNvGraphicFramePr>
                <a:graphic>
                  <a:graphicData uri="http://schemas.openxmlformats.org/drawingml/2006/picture">
                    <pic:pic>
                      <pic:nvPicPr>
                        <pic:cNvPr id="0" name="safety-solutions-website-header-transparent.png"/>
                        <pic:cNvPicPr/>
                      </pic:nvPicPr>
                      <pic:blipFill>
                        <a:blip r:embed="rId1"/>
                        <a:stretch>
                          <a:fillRect/>
                        </a:stretch>
                      </pic:blipFill>
                      <pic:spPr>
                        <a:xfrm>
                          <a:off x="0" y="0"/>
                          <a:ext cx="1417320" cy="369301"/>
                        </a:xfrm>
                        <a:prstGeom prst="rect"/>
                      </pic:spPr>
                    </pic:pic>
                  </a:graphicData>
                </a:graphic>
              </wp:inline>
            </w:drawing>
          </w:r>
        </w:p>
      </w:tc>
      <w:tc>
        <w:tcPr>
          <w:tcW w:type="dxa" w:w="3960"/>
        </w:tcPr>
        <w:p>
          <w:pPr>
            <w:spacing w:after="0" w:line="269" w:lineRule="auto"/>
            <w:jc w:val="right"/>
          </w:pPr>
          <w:r>
            <w:rPr>
              <w:rFonts w:ascii="Arial" w:hAnsi="Arial"/>
              <w:b/>
              <w:color w:val="159FE3"/>
              <w:sz w:val="16"/>
            </w:rPr>
            <w:t>EMPLOYER ASSESSMENT TOOL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olor w:val="102E4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b/>
      <w:bCs/>
      <w:color w:val="123A5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b/>
      <w:bCs/>
      <w:color w:val="123A5D"/>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b/>
      <w:bCs/>
      <w:color w:val="123A5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